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F4" w:rsidRPr="00764108" w:rsidRDefault="005F3DF4" w:rsidP="005F3DF4">
      <w:pPr>
        <w:tabs>
          <w:tab w:val="left" w:pos="709"/>
        </w:tabs>
        <w:spacing w:before="240" w:after="120"/>
        <w:jc w:val="center"/>
        <w:rPr>
          <w:rFonts w:eastAsiaTheme="minorEastAsia" w:cs="Courier New"/>
          <w:b/>
          <w:lang w:eastAsia="es-CL"/>
        </w:rPr>
      </w:pPr>
      <w:r>
        <w:rPr>
          <w:rFonts w:eastAsiaTheme="minorEastAsia" w:cs="Courier New"/>
          <w:b/>
          <w:lang w:eastAsia="es-CL"/>
        </w:rPr>
        <w:t>MINUTA INFORME FINAL PROCESO DE REVISIÓN EXPEDIENTES EXONERADOS</w:t>
      </w:r>
    </w:p>
    <w:p w:rsidR="005F3DF4" w:rsidRDefault="005F3DF4" w:rsidP="005F3DF4">
      <w:pPr>
        <w:tabs>
          <w:tab w:val="left" w:pos="709"/>
        </w:tabs>
        <w:spacing w:before="240" w:after="120"/>
        <w:jc w:val="right"/>
        <w:rPr>
          <w:rFonts w:eastAsiaTheme="minorEastAsia" w:cs="Courier New"/>
          <w:b/>
          <w:lang w:eastAsia="es-CL"/>
        </w:rPr>
      </w:pPr>
      <w:r w:rsidRPr="00764108">
        <w:rPr>
          <w:rFonts w:eastAsiaTheme="minorEastAsia" w:cs="Courier New"/>
          <w:b/>
          <w:lang w:eastAsia="es-CL"/>
        </w:rPr>
        <w:t>Subsecretaría del Interior</w:t>
      </w:r>
    </w:p>
    <w:p w:rsidR="005F3DF4" w:rsidRPr="00764108" w:rsidRDefault="005F3DF4" w:rsidP="005F3DF4">
      <w:pPr>
        <w:pBdr>
          <w:bottom w:val="single" w:sz="4" w:space="1" w:color="auto"/>
        </w:pBdr>
        <w:tabs>
          <w:tab w:val="left" w:pos="709"/>
        </w:tabs>
        <w:spacing w:before="240" w:after="120"/>
        <w:jc w:val="right"/>
        <w:rPr>
          <w:rFonts w:eastAsiaTheme="minorEastAsia" w:cs="Courier New"/>
          <w:b/>
          <w:lang w:eastAsia="es-CL"/>
        </w:rPr>
      </w:pPr>
      <w:r>
        <w:rPr>
          <w:rFonts w:eastAsiaTheme="minorEastAsia" w:cs="Courier New"/>
          <w:b/>
          <w:lang w:eastAsia="es-CL"/>
        </w:rPr>
        <w:t>9</w:t>
      </w:r>
      <w:r w:rsidRPr="00764108">
        <w:rPr>
          <w:rFonts w:eastAsiaTheme="minorEastAsia" w:cs="Courier New"/>
          <w:b/>
          <w:lang w:eastAsia="es-CL"/>
        </w:rPr>
        <w:t xml:space="preserve"> </w:t>
      </w:r>
      <w:r>
        <w:rPr>
          <w:rFonts w:eastAsiaTheme="minorEastAsia" w:cs="Courier New"/>
          <w:b/>
          <w:lang w:eastAsia="es-CL"/>
        </w:rPr>
        <w:t xml:space="preserve">de abril </w:t>
      </w:r>
      <w:r w:rsidRPr="00764108">
        <w:rPr>
          <w:rFonts w:eastAsiaTheme="minorEastAsia" w:cs="Courier New"/>
          <w:b/>
          <w:lang w:eastAsia="es-CL"/>
        </w:rPr>
        <w:t>de 2012</w:t>
      </w:r>
    </w:p>
    <w:p w:rsidR="005F3DF4" w:rsidRPr="005168DC" w:rsidRDefault="005F3DF4" w:rsidP="005F3DF4">
      <w:pPr>
        <w:spacing w:line="240" w:lineRule="auto"/>
        <w:rPr>
          <w:rFonts w:eastAsia="Times New Roman" w:cstheme="minorHAnsi"/>
          <w:b/>
          <w:u w:val="single"/>
          <w:lang w:eastAsia="es-CL"/>
        </w:rPr>
      </w:pPr>
      <w:r w:rsidRPr="005168DC">
        <w:rPr>
          <w:rFonts w:eastAsia="Times New Roman" w:cstheme="minorHAnsi"/>
          <w:b/>
          <w:u w:val="single"/>
          <w:lang w:eastAsia="es-CL"/>
        </w:rPr>
        <w:t>ANTECEDENTES</w:t>
      </w:r>
    </w:p>
    <w:p w:rsidR="005F3DF4" w:rsidRPr="005168DC" w:rsidRDefault="005F3DF4" w:rsidP="005F3DF4">
      <w:pPr>
        <w:spacing w:line="240" w:lineRule="auto"/>
        <w:rPr>
          <w:rFonts w:eastAsia="Times New Roman" w:cstheme="minorHAnsi"/>
          <w:b/>
          <w:lang w:eastAsia="es-CL"/>
        </w:rPr>
      </w:pPr>
      <w:r w:rsidRPr="005168DC">
        <w:rPr>
          <w:rFonts w:eastAsia="Times New Roman" w:cstheme="minorHAnsi"/>
          <w:b/>
          <w:lang w:eastAsia="es-CL"/>
        </w:rPr>
        <w:t>El Origen: Primeras luces de alerta en el Gobierno de Michelle Bachelet</w:t>
      </w:r>
    </w:p>
    <w:p w:rsidR="005F3DF4" w:rsidRPr="005168DC" w:rsidRDefault="005F3DF4" w:rsidP="005F3DF4">
      <w:pPr>
        <w:pStyle w:val="Prrafodelista"/>
        <w:numPr>
          <w:ilvl w:val="0"/>
          <w:numId w:val="1"/>
        </w:numPr>
        <w:spacing w:line="240" w:lineRule="auto"/>
        <w:rPr>
          <w:rFonts w:eastAsia="Times New Roman" w:cstheme="minorHAnsi"/>
          <w:lang w:eastAsia="es-CL"/>
        </w:rPr>
      </w:pPr>
      <w:r w:rsidRPr="00DD5A21">
        <w:rPr>
          <w:rFonts w:eastAsia="Times New Roman" w:cstheme="minorHAnsi"/>
          <w:b/>
          <w:lang w:eastAsia="es-CL"/>
        </w:rPr>
        <w:t>En junio del año 2006</w:t>
      </w:r>
      <w:r w:rsidRPr="005168DC">
        <w:rPr>
          <w:rFonts w:eastAsia="Times New Roman" w:cstheme="minorHAnsi"/>
          <w:lang w:eastAsia="es-CL"/>
        </w:rPr>
        <w:t xml:space="preserve"> se hizo una auditoría interna al Programa de Reconocimiento al Exonerado Político, la que arrojó las siguientes graves falencias en organización y funcionamiento:</w:t>
      </w:r>
    </w:p>
    <w:p w:rsidR="005F3DF4" w:rsidRPr="005168DC" w:rsidRDefault="005F3DF4" w:rsidP="005F3DF4">
      <w:pPr>
        <w:pStyle w:val="Prrafodelista"/>
        <w:numPr>
          <w:ilvl w:val="1"/>
          <w:numId w:val="1"/>
        </w:numPr>
        <w:spacing w:line="240" w:lineRule="auto"/>
        <w:rPr>
          <w:rFonts w:eastAsia="Times New Roman" w:cstheme="minorHAnsi"/>
          <w:lang w:eastAsia="es-CL"/>
        </w:rPr>
      </w:pPr>
      <w:r w:rsidRPr="005168DC">
        <w:rPr>
          <w:rFonts w:eastAsia="Times New Roman" w:cstheme="minorHAnsi"/>
          <w:lang w:eastAsia="es-CL"/>
        </w:rPr>
        <w:t>Ineficientes estructura orgánica y descoordinación interna.</w:t>
      </w:r>
    </w:p>
    <w:p w:rsidR="005F3DF4" w:rsidRPr="005168DC" w:rsidRDefault="005F3DF4" w:rsidP="005F3DF4">
      <w:pPr>
        <w:pStyle w:val="Prrafodelista"/>
        <w:numPr>
          <w:ilvl w:val="1"/>
          <w:numId w:val="1"/>
        </w:numPr>
        <w:spacing w:line="240" w:lineRule="auto"/>
        <w:rPr>
          <w:rFonts w:eastAsia="Times New Roman" w:cstheme="minorHAnsi"/>
          <w:lang w:eastAsia="es-CL"/>
        </w:rPr>
      </w:pPr>
      <w:r w:rsidRPr="005168DC">
        <w:rPr>
          <w:rFonts w:eastAsia="Times New Roman" w:cstheme="minorHAnsi"/>
          <w:lang w:eastAsia="es-CL"/>
        </w:rPr>
        <w:t>Inexistencia de medidas de seguridad ni control en el manejo de antecedentes y documentos de los expedientes.</w:t>
      </w:r>
    </w:p>
    <w:p w:rsidR="005F3DF4" w:rsidRPr="005168DC" w:rsidRDefault="005F3DF4" w:rsidP="005F3DF4">
      <w:pPr>
        <w:pStyle w:val="Prrafodelista"/>
        <w:numPr>
          <w:ilvl w:val="1"/>
          <w:numId w:val="1"/>
        </w:numPr>
        <w:spacing w:line="240" w:lineRule="auto"/>
        <w:rPr>
          <w:rFonts w:eastAsia="Times New Roman" w:cstheme="minorHAnsi"/>
          <w:lang w:eastAsia="es-CL"/>
        </w:rPr>
      </w:pPr>
      <w:r w:rsidRPr="005168DC">
        <w:rPr>
          <w:rFonts w:eastAsia="Times New Roman" w:cstheme="minorHAnsi"/>
          <w:lang w:eastAsia="es-CL"/>
        </w:rPr>
        <w:t>Base de datos insegura, desactualizada y sin respaldo informático.</w:t>
      </w:r>
    </w:p>
    <w:p w:rsidR="005F3DF4" w:rsidRPr="005168DC" w:rsidRDefault="005F3DF4" w:rsidP="005F3DF4">
      <w:pPr>
        <w:pStyle w:val="Prrafodelista"/>
        <w:numPr>
          <w:ilvl w:val="1"/>
          <w:numId w:val="1"/>
        </w:numPr>
        <w:spacing w:line="240" w:lineRule="auto"/>
        <w:rPr>
          <w:rFonts w:eastAsia="Times New Roman" w:cstheme="minorHAnsi"/>
          <w:lang w:eastAsia="es-CL"/>
        </w:rPr>
      </w:pPr>
      <w:r w:rsidRPr="005168DC">
        <w:rPr>
          <w:rFonts w:eastAsia="Times New Roman" w:cstheme="minorHAnsi"/>
          <w:lang w:eastAsia="es-CL"/>
        </w:rPr>
        <w:t>Dilación indefinida en la reprobación de la solicitud.</w:t>
      </w:r>
    </w:p>
    <w:p w:rsidR="005F3DF4" w:rsidRPr="005168DC" w:rsidRDefault="005F3DF4" w:rsidP="005F3DF4">
      <w:pPr>
        <w:pStyle w:val="Prrafodelista"/>
        <w:numPr>
          <w:ilvl w:val="1"/>
          <w:numId w:val="1"/>
        </w:numPr>
        <w:spacing w:line="240" w:lineRule="auto"/>
        <w:rPr>
          <w:rFonts w:eastAsia="Times New Roman" w:cstheme="minorHAnsi"/>
          <w:lang w:eastAsia="es-CL"/>
        </w:rPr>
      </w:pPr>
      <w:r w:rsidRPr="005168DC">
        <w:rPr>
          <w:rFonts w:eastAsia="Times New Roman" w:cstheme="minorHAnsi"/>
          <w:lang w:eastAsia="es-CL"/>
        </w:rPr>
        <w:t>Reveló también graves falencias en:</w:t>
      </w:r>
    </w:p>
    <w:p w:rsidR="005F3DF4" w:rsidRPr="005168DC" w:rsidRDefault="005F3DF4" w:rsidP="005F3DF4">
      <w:pPr>
        <w:pStyle w:val="Prrafodelista"/>
        <w:numPr>
          <w:ilvl w:val="2"/>
          <w:numId w:val="1"/>
        </w:numPr>
        <w:spacing w:line="240" w:lineRule="auto"/>
        <w:rPr>
          <w:rFonts w:eastAsia="Times New Roman" w:cstheme="minorHAnsi"/>
          <w:lang w:eastAsia="es-CL"/>
        </w:rPr>
      </w:pPr>
      <w:r>
        <w:rPr>
          <w:rFonts w:eastAsia="Times New Roman" w:cstheme="minorHAnsi"/>
          <w:lang w:eastAsia="es-CL"/>
        </w:rPr>
        <w:t xml:space="preserve"> L</w:t>
      </w:r>
      <w:r w:rsidRPr="005168DC">
        <w:rPr>
          <w:rFonts w:eastAsia="Times New Roman" w:cstheme="minorHAnsi"/>
          <w:lang w:eastAsia="es-CL"/>
        </w:rPr>
        <w:t>a</w:t>
      </w:r>
      <w:r>
        <w:rPr>
          <w:rFonts w:eastAsia="Times New Roman" w:cstheme="minorHAnsi"/>
          <w:lang w:eastAsia="es-CL"/>
        </w:rPr>
        <w:t xml:space="preserve"> precalificación y calificación.</w:t>
      </w:r>
    </w:p>
    <w:p w:rsidR="005F3DF4" w:rsidRPr="005168DC" w:rsidRDefault="005F3DF4" w:rsidP="005F3DF4">
      <w:pPr>
        <w:pStyle w:val="Prrafodelista"/>
        <w:numPr>
          <w:ilvl w:val="2"/>
          <w:numId w:val="1"/>
        </w:numPr>
        <w:spacing w:line="240" w:lineRule="auto"/>
        <w:rPr>
          <w:rFonts w:eastAsia="Times New Roman" w:cstheme="minorHAnsi"/>
          <w:lang w:eastAsia="es-CL"/>
        </w:rPr>
      </w:pPr>
      <w:r w:rsidRPr="005168DC">
        <w:rPr>
          <w:rFonts w:eastAsia="Times New Roman" w:cstheme="minorHAnsi"/>
          <w:lang w:eastAsia="es-CL"/>
        </w:rPr>
        <w:t>En el cumplimiento de dictámenes de Contraloría o INP</w:t>
      </w:r>
    </w:p>
    <w:p w:rsidR="005F3DF4" w:rsidRPr="005168DC" w:rsidRDefault="005F3DF4" w:rsidP="005F3DF4">
      <w:pPr>
        <w:pStyle w:val="Prrafodelista"/>
        <w:adjustRightInd w:val="0"/>
        <w:spacing w:after="0" w:line="240" w:lineRule="auto"/>
        <w:rPr>
          <w:rFonts w:eastAsia="Times New Roman" w:cstheme="minorHAnsi"/>
          <w:lang w:eastAsia="es-CL"/>
        </w:rPr>
      </w:pPr>
    </w:p>
    <w:p w:rsidR="005F3DF4" w:rsidRPr="005168DC" w:rsidRDefault="005F3DF4" w:rsidP="005F3DF4">
      <w:pPr>
        <w:pStyle w:val="Prrafodelista"/>
        <w:numPr>
          <w:ilvl w:val="0"/>
          <w:numId w:val="1"/>
        </w:numPr>
        <w:adjustRightInd w:val="0"/>
        <w:spacing w:after="0" w:line="240" w:lineRule="auto"/>
        <w:rPr>
          <w:rFonts w:eastAsia="Times New Roman" w:cstheme="minorHAnsi"/>
          <w:lang w:eastAsia="es-CL"/>
        </w:rPr>
      </w:pPr>
      <w:r w:rsidRPr="005168DC">
        <w:rPr>
          <w:rFonts w:eastAsia="Times New Roman" w:cstheme="minorHAnsi"/>
          <w:lang w:eastAsia="es-CL"/>
        </w:rPr>
        <w:t>¿Qué sucedió después de este informe?</w:t>
      </w:r>
    </w:p>
    <w:p w:rsidR="005F3DF4" w:rsidRPr="005168DC" w:rsidRDefault="005F3DF4" w:rsidP="005F3DF4">
      <w:pPr>
        <w:pStyle w:val="Prrafodelista"/>
        <w:numPr>
          <w:ilvl w:val="1"/>
          <w:numId w:val="1"/>
        </w:numPr>
        <w:adjustRightInd w:val="0"/>
        <w:spacing w:after="0" w:line="240" w:lineRule="auto"/>
        <w:rPr>
          <w:rFonts w:eastAsia="Times New Roman" w:cstheme="minorHAnsi"/>
          <w:lang w:eastAsia="es-CL"/>
        </w:rPr>
      </w:pPr>
      <w:r w:rsidRPr="00DD5A21">
        <w:rPr>
          <w:rFonts w:eastAsia="Times New Roman" w:cstheme="minorHAnsi"/>
          <w:b/>
          <w:lang w:eastAsia="es-CL"/>
        </w:rPr>
        <w:t>El 5 de noviembre de 2007</w:t>
      </w:r>
      <w:r w:rsidRPr="005168DC">
        <w:rPr>
          <w:rFonts w:eastAsia="Times New Roman" w:cstheme="minorHAnsi"/>
          <w:lang w:eastAsia="es-CL"/>
        </w:rPr>
        <w:t>, 17 meses después de realizada la Auditoría Interna, se hace presente el “manifiesto incumplimiento” de lo señalado en el informe y la ausencia de respuesta a los requerimientos de la Subsecretaría del Interior.</w:t>
      </w:r>
    </w:p>
    <w:p w:rsidR="005F3DF4" w:rsidRPr="005168DC" w:rsidRDefault="005F3DF4" w:rsidP="005F3DF4">
      <w:pPr>
        <w:pStyle w:val="Prrafodelista"/>
        <w:numPr>
          <w:ilvl w:val="2"/>
          <w:numId w:val="1"/>
        </w:numPr>
        <w:adjustRightInd w:val="0"/>
        <w:spacing w:after="0" w:line="240" w:lineRule="auto"/>
        <w:rPr>
          <w:rFonts w:eastAsia="Times New Roman" w:cstheme="minorHAnsi"/>
          <w:lang w:eastAsia="es-CL"/>
        </w:rPr>
      </w:pPr>
      <w:r w:rsidRPr="005168DC">
        <w:rPr>
          <w:rFonts w:eastAsia="Times New Roman" w:cstheme="minorHAnsi"/>
          <w:lang w:eastAsia="es-CL"/>
        </w:rPr>
        <w:t xml:space="preserve">Según da cuenta la correspondencia entre el Programa de Exonerados y el subsecretario de la época, Felipe </w:t>
      </w:r>
      <w:proofErr w:type="spellStart"/>
      <w:r w:rsidRPr="005168DC">
        <w:rPr>
          <w:rFonts w:eastAsia="Times New Roman" w:cstheme="minorHAnsi"/>
          <w:lang w:eastAsia="es-CL"/>
        </w:rPr>
        <w:t>Harboe</w:t>
      </w:r>
      <w:proofErr w:type="spellEnd"/>
      <w:r w:rsidRPr="005168DC">
        <w:rPr>
          <w:rFonts w:eastAsia="Times New Roman" w:cstheme="minorHAnsi"/>
          <w:lang w:eastAsia="es-CL"/>
        </w:rPr>
        <w:t>, las medidas dispuestas no habrían sido satisfactorias, ni dieron cumplimiento íntegro a las observaciones de auditoría.</w:t>
      </w:r>
    </w:p>
    <w:p w:rsidR="005F3DF4" w:rsidRPr="005168DC" w:rsidRDefault="005F3DF4" w:rsidP="005F3DF4">
      <w:pPr>
        <w:pStyle w:val="Prrafodelista"/>
        <w:numPr>
          <w:ilvl w:val="2"/>
          <w:numId w:val="1"/>
        </w:numPr>
        <w:adjustRightInd w:val="0"/>
        <w:spacing w:after="0" w:line="240" w:lineRule="auto"/>
        <w:rPr>
          <w:rFonts w:eastAsia="Times New Roman" w:cstheme="minorHAnsi"/>
          <w:lang w:eastAsia="es-CL"/>
        </w:rPr>
      </w:pPr>
      <w:r w:rsidRPr="005168DC">
        <w:rPr>
          <w:rFonts w:eastAsia="Times New Roman" w:cstheme="minorHAnsi"/>
          <w:lang w:eastAsia="es-CL"/>
        </w:rPr>
        <w:t>Tampoco consta un seguimiento posterior del cumplimiento o incumplimiento de las observaciones del informe de auditoría.</w:t>
      </w:r>
    </w:p>
    <w:p w:rsidR="005F3DF4" w:rsidRPr="005168DC" w:rsidRDefault="005F3DF4" w:rsidP="005F3DF4">
      <w:pPr>
        <w:pStyle w:val="Prrafodelista"/>
        <w:numPr>
          <w:ilvl w:val="2"/>
          <w:numId w:val="1"/>
        </w:numPr>
        <w:adjustRightInd w:val="0"/>
        <w:spacing w:after="0" w:line="240" w:lineRule="auto"/>
        <w:rPr>
          <w:rFonts w:eastAsia="Times New Roman" w:cstheme="minorHAnsi"/>
          <w:lang w:eastAsia="es-CL"/>
        </w:rPr>
      </w:pPr>
      <w:r w:rsidRPr="005168DC">
        <w:rPr>
          <w:rFonts w:eastAsia="Times New Roman" w:cstheme="minorHAnsi"/>
          <w:lang w:eastAsia="es-CL"/>
        </w:rPr>
        <w:t>Tampoco constan procesos disciplinarios incoados.</w:t>
      </w:r>
    </w:p>
    <w:p w:rsidR="005F3DF4" w:rsidRPr="005168DC" w:rsidRDefault="005F3DF4" w:rsidP="005F3DF4">
      <w:pPr>
        <w:pStyle w:val="Prrafodelista"/>
        <w:adjustRightInd w:val="0"/>
        <w:spacing w:after="0" w:line="240" w:lineRule="auto"/>
        <w:ind w:left="2160"/>
        <w:rPr>
          <w:rFonts w:eastAsia="Times New Roman" w:cstheme="minorHAnsi"/>
          <w:lang w:eastAsia="es-CL"/>
        </w:rPr>
      </w:pPr>
    </w:p>
    <w:p w:rsidR="005F3DF4" w:rsidRPr="005168DC" w:rsidRDefault="005F3DF4" w:rsidP="005F3DF4">
      <w:pPr>
        <w:spacing w:after="0" w:line="240" w:lineRule="auto"/>
        <w:jc w:val="both"/>
        <w:rPr>
          <w:rFonts w:eastAsia="Times New Roman" w:cstheme="minorHAnsi"/>
          <w:b/>
          <w:lang w:eastAsia="es-CL"/>
        </w:rPr>
      </w:pPr>
      <w:r w:rsidRPr="005168DC">
        <w:rPr>
          <w:rFonts w:eastAsia="Times New Roman" w:cstheme="minorHAnsi"/>
          <w:b/>
          <w:lang w:eastAsia="es-CL"/>
        </w:rPr>
        <w:t xml:space="preserve">El origen: Primera polémica pública de gran envergadura </w:t>
      </w:r>
    </w:p>
    <w:p w:rsidR="005F3DF4" w:rsidRPr="005168DC" w:rsidRDefault="005F3DF4" w:rsidP="005F3DF4">
      <w:pPr>
        <w:spacing w:after="0" w:line="240" w:lineRule="auto"/>
        <w:jc w:val="both"/>
        <w:rPr>
          <w:rFonts w:eastAsia="Times New Roman" w:cstheme="minorHAnsi"/>
          <w:b/>
          <w:lang w:eastAsia="es-CL"/>
        </w:rPr>
      </w:pPr>
    </w:p>
    <w:p w:rsidR="005F3DF4" w:rsidRPr="005168DC" w:rsidRDefault="005F3DF4" w:rsidP="005F3DF4">
      <w:pPr>
        <w:pStyle w:val="Prrafodelista"/>
        <w:numPr>
          <w:ilvl w:val="0"/>
          <w:numId w:val="2"/>
        </w:numPr>
        <w:rPr>
          <w:rFonts w:eastAsia="Times New Roman" w:cstheme="minorHAnsi"/>
          <w:lang w:eastAsia="es-CL"/>
        </w:rPr>
      </w:pPr>
      <w:r w:rsidRPr="00DD5A21">
        <w:rPr>
          <w:rFonts w:eastAsia="Times New Roman" w:cstheme="minorHAnsi"/>
          <w:b/>
          <w:lang w:eastAsia="es-CL"/>
        </w:rPr>
        <w:t>El 25 de noviembre de 2008</w:t>
      </w:r>
      <w:r w:rsidRPr="005168DC">
        <w:rPr>
          <w:rFonts w:eastAsia="Times New Roman" w:cstheme="minorHAnsi"/>
          <w:lang w:eastAsia="es-CL"/>
        </w:rPr>
        <w:t xml:space="preserve">, el presidente de la Comisión Nacional Unitaria de Exonerados y ex Presos Políticos, Raúl </w:t>
      </w:r>
      <w:proofErr w:type="spellStart"/>
      <w:r w:rsidRPr="005168DC">
        <w:rPr>
          <w:rFonts w:eastAsia="Times New Roman" w:cstheme="minorHAnsi"/>
          <w:lang w:eastAsia="es-CL"/>
        </w:rPr>
        <w:t>Celpa</w:t>
      </w:r>
      <w:proofErr w:type="spellEnd"/>
      <w:r w:rsidRPr="005168DC">
        <w:rPr>
          <w:rFonts w:eastAsia="Times New Roman" w:cstheme="minorHAnsi"/>
          <w:lang w:eastAsia="es-CL"/>
        </w:rPr>
        <w:t xml:space="preserve"> López, denunció la existencia de unos 100.000 casos falsos de personas que reciben reparaciones por este ítem.</w:t>
      </w:r>
    </w:p>
    <w:p w:rsidR="005F3DF4" w:rsidRPr="00BD7AA8" w:rsidRDefault="005F3DF4" w:rsidP="005F3DF4">
      <w:pPr>
        <w:pStyle w:val="Prrafodelista"/>
        <w:numPr>
          <w:ilvl w:val="1"/>
          <w:numId w:val="2"/>
        </w:numPr>
        <w:rPr>
          <w:rFonts w:eastAsia="Times New Roman" w:cstheme="minorHAnsi"/>
          <w:b/>
          <w:lang w:eastAsia="es-CL"/>
        </w:rPr>
      </w:pPr>
      <w:r w:rsidRPr="00BD7AA8">
        <w:rPr>
          <w:rFonts w:eastAsia="Times New Roman" w:cstheme="minorHAnsi"/>
          <w:b/>
          <w:lang w:eastAsia="es-CL"/>
        </w:rPr>
        <w:t xml:space="preserve">"La ley ha sido instrumentalizada a partir de 1998 para fines electorales" alegó </w:t>
      </w:r>
      <w:proofErr w:type="spellStart"/>
      <w:r w:rsidRPr="00BD7AA8">
        <w:rPr>
          <w:rFonts w:eastAsia="Times New Roman" w:cstheme="minorHAnsi"/>
          <w:b/>
          <w:lang w:eastAsia="es-CL"/>
        </w:rPr>
        <w:t>Celpa</w:t>
      </w:r>
      <w:proofErr w:type="spellEnd"/>
      <w:r w:rsidRPr="00BD7AA8">
        <w:rPr>
          <w:rFonts w:eastAsia="Times New Roman" w:cstheme="minorHAnsi"/>
          <w:b/>
          <w:lang w:eastAsia="es-CL"/>
        </w:rPr>
        <w:t xml:space="preserve">, agregando que la modificación que se introduce en ese año "permite </w:t>
      </w:r>
      <w:r w:rsidRPr="00BD7AA8">
        <w:rPr>
          <w:rFonts w:eastAsia="Times New Roman" w:cstheme="minorHAnsi"/>
          <w:b/>
          <w:lang w:eastAsia="es-CL"/>
        </w:rPr>
        <w:lastRenderedPageBreak/>
        <w:t>cautivar a un mercado ilimitado de personas a las cuales se les ofrece ser calificadas como exonerados políticos".</w:t>
      </w:r>
    </w:p>
    <w:p w:rsidR="005F3DF4" w:rsidRPr="005168DC" w:rsidRDefault="005F3DF4" w:rsidP="005F3DF4">
      <w:pPr>
        <w:pStyle w:val="Prrafodelista"/>
        <w:numPr>
          <w:ilvl w:val="1"/>
          <w:numId w:val="2"/>
        </w:numPr>
        <w:spacing w:after="0" w:line="240" w:lineRule="auto"/>
        <w:jc w:val="both"/>
        <w:rPr>
          <w:rFonts w:eastAsia="Times New Roman" w:cstheme="minorHAnsi"/>
          <w:lang w:eastAsia="es-CL"/>
        </w:rPr>
      </w:pPr>
      <w:r w:rsidRPr="005168DC">
        <w:rPr>
          <w:rFonts w:eastAsia="Times New Roman" w:cstheme="minorHAnsi"/>
          <w:lang w:eastAsia="es-CL"/>
        </w:rPr>
        <w:t>La denuncia</w:t>
      </w:r>
      <w:r>
        <w:rPr>
          <w:rFonts w:eastAsia="Times New Roman" w:cstheme="minorHAnsi"/>
          <w:lang w:eastAsia="es-CL"/>
        </w:rPr>
        <w:t xml:space="preserve"> recibió un activo respaldado de </w:t>
      </w:r>
      <w:bookmarkStart w:id="0" w:name="_GoBack"/>
      <w:bookmarkEnd w:id="0"/>
      <w:r w:rsidRPr="005168DC">
        <w:rPr>
          <w:rFonts w:eastAsia="Times New Roman" w:cstheme="minorHAnsi"/>
          <w:lang w:eastAsia="es-CL"/>
        </w:rPr>
        <w:t xml:space="preserve">la diputada Carla </w:t>
      </w:r>
      <w:proofErr w:type="spellStart"/>
      <w:r w:rsidRPr="005168DC">
        <w:rPr>
          <w:rFonts w:eastAsia="Times New Roman" w:cstheme="minorHAnsi"/>
          <w:lang w:eastAsia="es-CL"/>
        </w:rPr>
        <w:t>Rubilar</w:t>
      </w:r>
      <w:proofErr w:type="spellEnd"/>
      <w:r w:rsidRPr="005168DC">
        <w:rPr>
          <w:rFonts w:eastAsia="Times New Roman" w:cstheme="minorHAnsi"/>
          <w:lang w:eastAsia="es-CL"/>
        </w:rPr>
        <w:t>.</w:t>
      </w:r>
    </w:p>
    <w:p w:rsidR="005F3DF4" w:rsidRPr="005168DC" w:rsidRDefault="005F3DF4" w:rsidP="005F3DF4">
      <w:pPr>
        <w:pStyle w:val="Prrafodelista"/>
        <w:spacing w:after="0" w:line="240" w:lineRule="auto"/>
        <w:ind w:left="1440"/>
        <w:jc w:val="both"/>
        <w:rPr>
          <w:rFonts w:eastAsia="Times New Roman" w:cstheme="minorHAnsi"/>
          <w:lang w:eastAsia="es-CL"/>
        </w:rPr>
      </w:pPr>
    </w:p>
    <w:p w:rsidR="005F3DF4" w:rsidRPr="005168DC" w:rsidRDefault="005F3DF4" w:rsidP="005F3DF4">
      <w:pPr>
        <w:pStyle w:val="Prrafodelista"/>
        <w:numPr>
          <w:ilvl w:val="0"/>
          <w:numId w:val="2"/>
        </w:numPr>
        <w:spacing w:after="0" w:line="240" w:lineRule="auto"/>
        <w:jc w:val="both"/>
        <w:rPr>
          <w:rFonts w:eastAsia="Times New Roman" w:cstheme="minorHAnsi"/>
          <w:lang w:eastAsia="es-CL"/>
        </w:rPr>
      </w:pPr>
      <w:r w:rsidRPr="00DD5A21">
        <w:rPr>
          <w:rFonts w:eastAsia="Times New Roman" w:cstheme="minorHAnsi"/>
          <w:lang w:eastAsia="es-CL"/>
        </w:rPr>
        <w:t>¿</w:t>
      </w:r>
      <w:r w:rsidRPr="005168DC">
        <w:rPr>
          <w:rFonts w:eastAsia="Times New Roman" w:cstheme="minorHAnsi"/>
          <w:lang w:eastAsia="es-CL"/>
        </w:rPr>
        <w:t xml:space="preserve">Qué dijo el entonces presidente del Partido Socialista, </w:t>
      </w:r>
      <w:r w:rsidRPr="00BD7AA8">
        <w:rPr>
          <w:rFonts w:eastAsia="Times New Roman" w:cstheme="minorHAnsi"/>
          <w:b/>
          <w:lang w:eastAsia="es-CL"/>
        </w:rPr>
        <w:t>Camilo Escalona</w:t>
      </w:r>
      <w:r w:rsidRPr="005168DC">
        <w:rPr>
          <w:rFonts w:eastAsia="Times New Roman" w:cstheme="minorHAnsi"/>
          <w:lang w:eastAsia="es-CL"/>
        </w:rPr>
        <w:t>?</w:t>
      </w:r>
    </w:p>
    <w:p w:rsidR="005F3DF4" w:rsidRPr="00BD7AA8" w:rsidRDefault="005F3DF4" w:rsidP="005F3DF4">
      <w:pPr>
        <w:pStyle w:val="Prrafodelista"/>
        <w:numPr>
          <w:ilvl w:val="1"/>
          <w:numId w:val="2"/>
        </w:numPr>
        <w:spacing w:after="0" w:line="240" w:lineRule="auto"/>
        <w:jc w:val="both"/>
        <w:rPr>
          <w:rFonts w:eastAsia="Times New Roman" w:cstheme="minorHAnsi"/>
          <w:b/>
          <w:lang w:eastAsia="es-CL"/>
        </w:rPr>
      </w:pPr>
      <w:r w:rsidRPr="005168DC">
        <w:rPr>
          <w:rFonts w:eastAsia="Times New Roman" w:cstheme="minorHAnsi"/>
          <w:lang w:eastAsia="es-CL"/>
        </w:rPr>
        <w:t xml:space="preserve">En conferencia de prensa del </w:t>
      </w:r>
      <w:r w:rsidRPr="00DD5A21">
        <w:rPr>
          <w:rFonts w:eastAsia="Times New Roman" w:cstheme="minorHAnsi"/>
          <w:b/>
          <w:lang w:eastAsia="es-CL"/>
        </w:rPr>
        <w:t>26 de noviembre de 2008</w:t>
      </w:r>
      <w:r w:rsidRPr="005168DC">
        <w:rPr>
          <w:rFonts w:eastAsia="Times New Roman" w:cstheme="minorHAnsi"/>
          <w:lang w:eastAsia="es-CL"/>
        </w:rPr>
        <w:t xml:space="preserve">, admitió que </w:t>
      </w:r>
      <w:r w:rsidRPr="00BD7AA8">
        <w:rPr>
          <w:rFonts w:eastAsia="Times New Roman" w:cstheme="minorHAnsi"/>
          <w:b/>
          <w:lang w:eastAsia="es-CL"/>
        </w:rPr>
        <w:t>las oficinas parlamentarias beneficiaron a personas sin ser exonerados políticos, pero aclaró que se trataba de indigentes.</w:t>
      </w:r>
    </w:p>
    <w:p w:rsidR="005F3DF4" w:rsidRPr="005168DC" w:rsidRDefault="005F3DF4" w:rsidP="005F3DF4">
      <w:pPr>
        <w:spacing w:after="0" w:line="240" w:lineRule="auto"/>
        <w:jc w:val="both"/>
        <w:rPr>
          <w:rFonts w:eastAsia="Times New Roman" w:cstheme="minorHAnsi"/>
          <w:lang w:eastAsia="es-CL"/>
        </w:rPr>
      </w:pPr>
    </w:p>
    <w:p w:rsidR="005F3DF4" w:rsidRPr="005168DC" w:rsidRDefault="005F3DF4" w:rsidP="005F3DF4">
      <w:pPr>
        <w:spacing w:after="0" w:line="240" w:lineRule="auto"/>
        <w:jc w:val="both"/>
        <w:rPr>
          <w:rFonts w:eastAsia="Times New Roman" w:cstheme="minorHAnsi"/>
          <w:b/>
          <w:u w:val="single"/>
          <w:lang w:eastAsia="es-CL"/>
        </w:rPr>
      </w:pPr>
      <w:r w:rsidRPr="005168DC">
        <w:rPr>
          <w:rFonts w:eastAsia="Times New Roman" w:cstheme="minorHAnsi"/>
          <w:b/>
          <w:u w:val="single"/>
          <w:lang w:eastAsia="es-CL"/>
        </w:rPr>
        <w:t>TRATAMIENTO DEL PROBLEMA DURANTE EL ACTUAL GOBIERNO</w:t>
      </w:r>
    </w:p>
    <w:p w:rsidR="005F3DF4" w:rsidRPr="005168DC" w:rsidRDefault="005F3DF4" w:rsidP="005F3DF4">
      <w:pPr>
        <w:spacing w:after="0" w:line="240" w:lineRule="auto"/>
        <w:jc w:val="both"/>
        <w:rPr>
          <w:rFonts w:eastAsia="Times New Roman" w:cstheme="minorHAnsi"/>
          <w:b/>
          <w:lang w:eastAsia="es-CL"/>
        </w:rPr>
      </w:pPr>
      <w:r w:rsidRPr="005168DC">
        <w:rPr>
          <w:rFonts w:eastAsia="Times New Roman" w:cstheme="minorHAnsi"/>
          <w:b/>
          <w:lang w:eastAsia="es-CL"/>
        </w:rPr>
        <w:t>Recepción de denuncia</w:t>
      </w:r>
    </w:p>
    <w:p w:rsidR="005F3DF4" w:rsidRPr="005168DC" w:rsidRDefault="005F3DF4" w:rsidP="005F3DF4">
      <w:pPr>
        <w:pStyle w:val="Prrafodelista"/>
        <w:numPr>
          <w:ilvl w:val="0"/>
          <w:numId w:val="3"/>
        </w:numPr>
        <w:spacing w:after="0" w:line="240" w:lineRule="auto"/>
        <w:jc w:val="both"/>
        <w:rPr>
          <w:rFonts w:eastAsia="Times New Roman" w:cstheme="minorHAnsi"/>
          <w:lang w:eastAsia="es-CL"/>
        </w:rPr>
      </w:pPr>
      <w:r w:rsidRPr="005168DC">
        <w:rPr>
          <w:rFonts w:eastAsia="Times New Roman" w:cstheme="minorHAnsi"/>
          <w:b/>
          <w:lang w:eastAsia="es-CL"/>
        </w:rPr>
        <w:t>El 6 agosto de 2010,</w:t>
      </w:r>
      <w:r w:rsidRPr="005168DC">
        <w:rPr>
          <w:rFonts w:eastAsia="Times New Roman" w:cstheme="minorHAnsi"/>
          <w:lang w:eastAsia="es-CL"/>
        </w:rPr>
        <w:t xml:space="preserve"> la Oficina de Exonerados Políticos del Ministerio del Interior recibió información de antecedentes y denuncias en relación con falsificaciones de documentos y otorgamiento ilegal de la calidad de exonerados políticos y de los beneficios previsionales derivados de tal calidad. </w:t>
      </w:r>
    </w:p>
    <w:p w:rsidR="005F3DF4" w:rsidRPr="005168DC" w:rsidRDefault="005F3DF4" w:rsidP="005F3DF4">
      <w:pPr>
        <w:pStyle w:val="Prrafodelista"/>
        <w:numPr>
          <w:ilvl w:val="0"/>
          <w:numId w:val="3"/>
        </w:numPr>
        <w:spacing w:after="0" w:line="240" w:lineRule="auto"/>
        <w:jc w:val="both"/>
        <w:rPr>
          <w:rFonts w:eastAsia="Times New Roman" w:cstheme="minorHAnsi"/>
          <w:lang w:eastAsia="es-CL"/>
        </w:rPr>
      </w:pPr>
      <w:r w:rsidRPr="005168DC">
        <w:rPr>
          <w:rFonts w:eastAsia="Times New Roman" w:cstheme="minorHAnsi"/>
          <w:b/>
          <w:lang w:eastAsia="es-CL"/>
        </w:rPr>
        <w:t>Con fecha 13 de agosto de 2010, se interpuso  querella criminal</w:t>
      </w:r>
      <w:r w:rsidRPr="005168DC">
        <w:rPr>
          <w:rFonts w:eastAsia="Times New Roman" w:cstheme="minorHAnsi"/>
          <w:lang w:eastAsia="es-CL"/>
        </w:rPr>
        <w:t xml:space="preserve"> contra  quienes resulten responsables de los delitos de falsificación de timbres, instrumento público y privado y usurpación de funciones. Fiscalía centro Norte RUC 10110020995-6.</w:t>
      </w:r>
    </w:p>
    <w:p w:rsidR="005F3DF4" w:rsidRPr="005168DC" w:rsidRDefault="005F3DF4" w:rsidP="005F3DF4">
      <w:pPr>
        <w:pStyle w:val="Prrafodelista"/>
        <w:numPr>
          <w:ilvl w:val="0"/>
          <w:numId w:val="3"/>
        </w:numPr>
        <w:spacing w:after="0" w:line="240" w:lineRule="auto"/>
        <w:jc w:val="both"/>
        <w:rPr>
          <w:rFonts w:eastAsia="Times New Roman" w:cstheme="minorHAnsi"/>
          <w:lang w:eastAsia="es-CL"/>
        </w:rPr>
      </w:pPr>
      <w:r w:rsidRPr="005168DC">
        <w:rPr>
          <w:rFonts w:eastAsia="Times New Roman" w:cstheme="minorHAnsi"/>
          <w:b/>
          <w:lang w:eastAsia="es-CL"/>
        </w:rPr>
        <w:t xml:space="preserve">Con fecha 12 de septiembre de 2011, se formalizó al Julio </w:t>
      </w:r>
      <w:proofErr w:type="spellStart"/>
      <w:r w:rsidRPr="005168DC">
        <w:rPr>
          <w:rFonts w:eastAsia="Times New Roman" w:cstheme="minorHAnsi"/>
          <w:b/>
          <w:lang w:eastAsia="es-CL"/>
        </w:rPr>
        <w:t>Allendes</w:t>
      </w:r>
      <w:proofErr w:type="spellEnd"/>
      <w:r w:rsidRPr="005168DC">
        <w:rPr>
          <w:rFonts w:eastAsia="Times New Roman" w:cstheme="minorHAnsi"/>
          <w:b/>
          <w:lang w:eastAsia="es-CL"/>
        </w:rPr>
        <w:t xml:space="preserve"> </w:t>
      </w:r>
      <w:proofErr w:type="spellStart"/>
      <w:r w:rsidRPr="005168DC">
        <w:rPr>
          <w:rFonts w:eastAsia="Times New Roman" w:cstheme="minorHAnsi"/>
          <w:b/>
          <w:lang w:eastAsia="es-CL"/>
        </w:rPr>
        <w:t>Allendes</w:t>
      </w:r>
      <w:proofErr w:type="spellEnd"/>
      <w:r w:rsidRPr="005168DC">
        <w:rPr>
          <w:rFonts w:eastAsia="Times New Roman" w:cstheme="minorHAnsi"/>
          <w:lang w:eastAsia="es-CL"/>
        </w:rPr>
        <w:t>, como autor de delitos de falsificación y fraude, éste se encuentra con arraigo nacional y firma mensual.</w:t>
      </w:r>
    </w:p>
    <w:p w:rsidR="005F3DF4" w:rsidRPr="005168DC" w:rsidRDefault="005F3DF4" w:rsidP="005F3DF4">
      <w:pPr>
        <w:spacing w:after="0" w:line="240" w:lineRule="auto"/>
        <w:ind w:left="360"/>
        <w:jc w:val="both"/>
        <w:rPr>
          <w:rFonts w:eastAsia="Times New Roman" w:cstheme="minorHAnsi"/>
          <w:lang w:eastAsia="es-CL"/>
        </w:rPr>
      </w:pPr>
    </w:p>
    <w:p w:rsidR="005F3DF4" w:rsidRPr="00FB08A7" w:rsidRDefault="005F3DF4" w:rsidP="005F3DF4">
      <w:pPr>
        <w:adjustRightInd w:val="0"/>
        <w:spacing w:after="0" w:line="240" w:lineRule="auto"/>
        <w:rPr>
          <w:rFonts w:eastAsia="Times New Roman" w:cstheme="minorHAnsi"/>
          <w:lang w:eastAsia="es-CL"/>
        </w:rPr>
      </w:pPr>
      <w:r w:rsidRPr="00FB08A7">
        <w:rPr>
          <w:rFonts w:eastAsia="Times New Roman" w:cstheme="minorHAnsi"/>
          <w:b/>
          <w:lang w:eastAsia="es-CL"/>
        </w:rPr>
        <w:t>In</w:t>
      </w:r>
      <w:r w:rsidRPr="005168DC">
        <w:rPr>
          <w:rFonts w:eastAsia="Times New Roman" w:cstheme="minorHAnsi"/>
          <w:b/>
          <w:lang w:eastAsia="es-CL"/>
        </w:rPr>
        <w:t>icio de revisión de expedientes</w:t>
      </w:r>
    </w:p>
    <w:p w:rsidR="005F3DF4" w:rsidRPr="005168DC" w:rsidRDefault="005F3DF4" w:rsidP="005F3DF4">
      <w:pPr>
        <w:pStyle w:val="Prrafodelista"/>
        <w:numPr>
          <w:ilvl w:val="0"/>
          <w:numId w:val="4"/>
        </w:numPr>
        <w:spacing w:line="240" w:lineRule="auto"/>
        <w:jc w:val="both"/>
        <w:rPr>
          <w:rFonts w:eastAsia="Times New Roman" w:cstheme="minorHAnsi"/>
          <w:lang w:eastAsia="es-CL"/>
        </w:rPr>
      </w:pPr>
      <w:r w:rsidRPr="005168DC">
        <w:rPr>
          <w:rFonts w:eastAsia="Times New Roman" w:cstheme="minorHAnsi"/>
          <w:lang w:eastAsia="es-CL"/>
        </w:rPr>
        <w:t xml:space="preserve">Se dispuso una revisión aleatoria de 4.000 expedientes de exonerados políticos, cuyos resultados arrojaron numerosas irregularidades en la calificación. Esta información fue comunicada a la Comisión Investigadora de la Cámara de Diputados, ante la cual el Ministerio del Interior asumió la obligación de proceder a la revisión  de 50.000, expedientes de exonerados políticos, a fin de determinar la magnitud y naturaleza de irregularidades. </w:t>
      </w:r>
      <w:r w:rsidRPr="005168DC">
        <w:rPr>
          <w:rFonts w:eastAsia="Calibri" w:cstheme="minorHAnsi"/>
        </w:rPr>
        <w:t>Se dispuso un equipo especial, encabezado por el Jefe de la Oficina de Exonerados Políticos, Román Zelaya.</w:t>
      </w:r>
    </w:p>
    <w:p w:rsidR="005F3DF4" w:rsidRPr="005168DC" w:rsidRDefault="005F3DF4" w:rsidP="005F3DF4">
      <w:pPr>
        <w:pStyle w:val="Prrafodelista"/>
        <w:spacing w:line="240" w:lineRule="auto"/>
        <w:jc w:val="both"/>
        <w:rPr>
          <w:rFonts w:eastAsia="Times New Roman" w:cstheme="minorHAnsi"/>
          <w:lang w:eastAsia="es-CL"/>
        </w:rPr>
      </w:pPr>
    </w:p>
    <w:p w:rsidR="005F3DF4" w:rsidRPr="005168DC" w:rsidRDefault="005F3DF4" w:rsidP="005F3DF4">
      <w:pPr>
        <w:pStyle w:val="Prrafodelista"/>
        <w:numPr>
          <w:ilvl w:val="0"/>
          <w:numId w:val="4"/>
        </w:numPr>
        <w:spacing w:line="240" w:lineRule="auto"/>
        <w:jc w:val="both"/>
        <w:rPr>
          <w:rFonts w:eastAsia="Times New Roman" w:cstheme="minorHAnsi"/>
          <w:lang w:eastAsia="es-CL"/>
        </w:rPr>
      </w:pPr>
      <w:r w:rsidRPr="005168DC">
        <w:rPr>
          <w:rFonts w:eastAsia="Times New Roman" w:cstheme="minorHAnsi"/>
          <w:lang w:eastAsia="es-CL"/>
        </w:rPr>
        <w:t xml:space="preserve">La revisión para complementar los 50.000 expedientes que solicitó revisar la Comisión Investigadora se inició el 14 de noviembre de 2011 concluyó el 21 de marzo de 2012. </w:t>
      </w:r>
    </w:p>
    <w:p w:rsidR="005F3DF4" w:rsidRPr="005168DC" w:rsidRDefault="005F3DF4" w:rsidP="005F3DF4">
      <w:pPr>
        <w:pStyle w:val="Prrafodelista"/>
        <w:rPr>
          <w:rFonts w:eastAsia="Times New Roman" w:cstheme="minorHAnsi"/>
          <w:lang w:eastAsia="es-CL"/>
        </w:rPr>
      </w:pPr>
    </w:p>
    <w:p w:rsidR="005F3DF4" w:rsidRPr="005168DC" w:rsidRDefault="005F3DF4" w:rsidP="005F3DF4">
      <w:pPr>
        <w:pStyle w:val="Prrafodelista"/>
        <w:numPr>
          <w:ilvl w:val="0"/>
          <w:numId w:val="4"/>
        </w:numPr>
        <w:spacing w:line="240" w:lineRule="auto"/>
        <w:jc w:val="both"/>
        <w:rPr>
          <w:rFonts w:eastAsia="Times New Roman" w:cstheme="minorHAnsi"/>
          <w:lang w:eastAsia="es-CL"/>
        </w:rPr>
      </w:pPr>
      <w:r w:rsidRPr="005168DC">
        <w:rPr>
          <w:rFonts w:eastAsia="Times New Roman" w:cstheme="minorHAnsi"/>
          <w:lang w:eastAsia="es-CL"/>
        </w:rPr>
        <w:t>Entre los hitos más relevantes del proceso de revisión, se cuentan:</w:t>
      </w:r>
    </w:p>
    <w:p w:rsidR="005F3DF4" w:rsidRPr="005168DC" w:rsidRDefault="005F3DF4" w:rsidP="005F3DF4">
      <w:pPr>
        <w:pStyle w:val="Prrafodelista"/>
        <w:numPr>
          <w:ilvl w:val="1"/>
          <w:numId w:val="4"/>
        </w:numPr>
        <w:spacing w:line="240" w:lineRule="auto"/>
        <w:jc w:val="both"/>
        <w:rPr>
          <w:rFonts w:eastAsia="Times New Roman" w:cstheme="minorHAnsi"/>
          <w:lang w:eastAsia="es-CL"/>
        </w:rPr>
      </w:pPr>
      <w:r w:rsidRPr="005168DC">
        <w:rPr>
          <w:rFonts w:eastAsia="Times New Roman" w:cstheme="minorHAnsi"/>
          <w:b/>
          <w:lang w:eastAsia="es-CL"/>
        </w:rPr>
        <w:t>El 17 de octubre de 2011</w:t>
      </w:r>
      <w:r w:rsidRPr="005168DC">
        <w:rPr>
          <w:rFonts w:eastAsia="Times New Roman" w:cstheme="minorHAnsi"/>
          <w:lang w:eastAsia="es-CL"/>
        </w:rPr>
        <w:t xml:space="preserve">, el ministro </w:t>
      </w:r>
      <w:proofErr w:type="spellStart"/>
      <w:r w:rsidRPr="005168DC">
        <w:rPr>
          <w:rFonts w:eastAsia="Times New Roman" w:cstheme="minorHAnsi"/>
          <w:lang w:eastAsia="es-CL"/>
        </w:rPr>
        <w:t>Hinzpeter</w:t>
      </w:r>
      <w:proofErr w:type="spellEnd"/>
      <w:r w:rsidRPr="005168DC">
        <w:rPr>
          <w:rFonts w:eastAsia="Times New Roman" w:cstheme="minorHAnsi"/>
          <w:lang w:eastAsia="es-CL"/>
        </w:rPr>
        <w:t xml:space="preserve"> y el subsecretario </w:t>
      </w:r>
      <w:proofErr w:type="spellStart"/>
      <w:r w:rsidRPr="005168DC">
        <w:rPr>
          <w:rFonts w:eastAsia="Times New Roman" w:cstheme="minorHAnsi"/>
          <w:lang w:eastAsia="es-CL"/>
        </w:rPr>
        <w:t>Ubilla</w:t>
      </w:r>
      <w:proofErr w:type="spellEnd"/>
      <w:r w:rsidRPr="005168DC">
        <w:rPr>
          <w:rFonts w:eastAsia="Times New Roman" w:cstheme="minorHAnsi"/>
          <w:lang w:eastAsia="es-CL"/>
        </w:rPr>
        <w:t xml:space="preserve"> exponen antecedentes del proceso de entrega de beneficios a exonerados políticos, ante la Comisión de Trabajo.</w:t>
      </w:r>
    </w:p>
    <w:p w:rsidR="005F3DF4" w:rsidRPr="005168DC" w:rsidRDefault="005F3DF4" w:rsidP="005F3DF4">
      <w:pPr>
        <w:pStyle w:val="Prrafodelista"/>
        <w:numPr>
          <w:ilvl w:val="1"/>
          <w:numId w:val="4"/>
        </w:numPr>
        <w:spacing w:line="240" w:lineRule="auto"/>
        <w:jc w:val="both"/>
        <w:rPr>
          <w:rFonts w:eastAsia="Times New Roman" w:cstheme="minorHAnsi"/>
          <w:lang w:eastAsia="es-CL"/>
        </w:rPr>
      </w:pPr>
      <w:r w:rsidRPr="005168DC">
        <w:rPr>
          <w:rFonts w:eastAsia="Times New Roman" w:cstheme="minorHAnsi"/>
          <w:b/>
          <w:lang w:eastAsia="es-CL"/>
        </w:rPr>
        <w:t>El 26 de octubre, el subsecretario del Interior entregó al CDE 224 expedientes</w:t>
      </w:r>
      <w:r w:rsidRPr="005168DC">
        <w:rPr>
          <w:rFonts w:eastAsia="Times New Roman" w:cstheme="minorHAnsi"/>
          <w:lang w:eastAsia="es-CL"/>
        </w:rPr>
        <w:t xml:space="preserve">, en los cuales figuraban casos de exonerados provenientes de empresas no calificadas como intervenidas por el Estado; casos de menores de edad a la fecha de exoneración que no acreditan relación laboral con alguna empresa; y casos certificados por diferentes autoridades. La finalidad de esta entrega, es que el CDE  </w:t>
      </w:r>
      <w:r w:rsidRPr="005168DC">
        <w:rPr>
          <w:rFonts w:eastAsia="Times New Roman" w:cstheme="minorHAnsi"/>
          <w:lang w:eastAsia="es-CL"/>
        </w:rPr>
        <w:lastRenderedPageBreak/>
        <w:t>no sólo avance en la querella ya interpuesta, sino que también lo haga en la línea de caducar los expedientes de aquellos exonerados que presenten irregularidades en su génesis.</w:t>
      </w:r>
    </w:p>
    <w:p w:rsidR="005F3DF4" w:rsidRPr="005168DC" w:rsidRDefault="005F3DF4" w:rsidP="005F3DF4">
      <w:pPr>
        <w:pStyle w:val="Prrafodelista"/>
        <w:numPr>
          <w:ilvl w:val="1"/>
          <w:numId w:val="4"/>
        </w:numPr>
        <w:spacing w:line="240" w:lineRule="auto"/>
        <w:jc w:val="both"/>
        <w:rPr>
          <w:rFonts w:eastAsia="Times New Roman" w:cstheme="minorHAnsi"/>
          <w:lang w:eastAsia="es-CL"/>
        </w:rPr>
      </w:pPr>
      <w:r w:rsidRPr="005168DC">
        <w:rPr>
          <w:rFonts w:eastAsia="Times New Roman" w:cstheme="minorHAnsi"/>
          <w:b/>
          <w:lang w:eastAsia="es-CL"/>
        </w:rPr>
        <w:t>El 2 de noviembre, la Cámara de Diputados dispuso una sesión especial</w:t>
      </w:r>
      <w:r w:rsidRPr="005168DC">
        <w:rPr>
          <w:rFonts w:eastAsia="Times New Roman" w:cstheme="minorHAnsi"/>
          <w:lang w:eastAsia="es-CL"/>
        </w:rPr>
        <w:t xml:space="preserve"> para analizar las irregularidades detectadas en la calificación de exonerados políticos. Al término de la sesión la Cámara, entre otros puntos, acordó solicitar a S.E. el Presidente de la República que instruya al Ministerio del Interior y Seguridad Pública a continuar las revisiones de expedientes de exonerados políticos e investigar todas las responsabilidades que procedan acorde a derecho.</w:t>
      </w:r>
    </w:p>
    <w:p w:rsidR="005F3DF4" w:rsidRPr="005168DC" w:rsidRDefault="005F3DF4" w:rsidP="005F3DF4">
      <w:pPr>
        <w:pStyle w:val="Prrafodelista"/>
        <w:numPr>
          <w:ilvl w:val="1"/>
          <w:numId w:val="4"/>
        </w:numPr>
        <w:spacing w:line="240" w:lineRule="auto"/>
        <w:jc w:val="both"/>
        <w:rPr>
          <w:rFonts w:eastAsia="Times New Roman" w:cstheme="minorHAnsi"/>
          <w:lang w:eastAsia="es-CL"/>
        </w:rPr>
      </w:pPr>
      <w:r w:rsidRPr="005168DC">
        <w:rPr>
          <w:rFonts w:eastAsia="Times New Roman" w:cstheme="minorHAnsi"/>
          <w:b/>
          <w:lang w:eastAsia="es-CL"/>
        </w:rPr>
        <w:t>Con fecha 15 de noviembre, el CDE ofició al Instituto de Previsión Social (IPS),</w:t>
      </w:r>
      <w:r w:rsidRPr="005168DC">
        <w:rPr>
          <w:rFonts w:eastAsia="Times New Roman" w:cstheme="minorHAnsi"/>
          <w:lang w:eastAsia="es-CL"/>
        </w:rPr>
        <w:t xml:space="preserve"> señalando que de los antecedentes que le entregara la Subsecretaría del Interior con fecha 26 de octubre, se detectaron 52 casos en los que es posible, usando las atribuciones de esa repartición (IPS),  dejar sin efecto los beneficios previsionales.</w:t>
      </w:r>
    </w:p>
    <w:p w:rsidR="005F3DF4" w:rsidRPr="005168DC" w:rsidRDefault="005F3DF4" w:rsidP="005F3DF4">
      <w:pPr>
        <w:pStyle w:val="Prrafodelista"/>
        <w:numPr>
          <w:ilvl w:val="1"/>
          <w:numId w:val="4"/>
        </w:numPr>
        <w:spacing w:line="240" w:lineRule="auto"/>
        <w:jc w:val="both"/>
        <w:rPr>
          <w:rFonts w:eastAsia="Times New Roman" w:cstheme="minorHAnsi"/>
          <w:lang w:eastAsia="es-CL"/>
        </w:rPr>
      </w:pPr>
      <w:r w:rsidRPr="005168DC">
        <w:rPr>
          <w:rFonts w:eastAsia="Times New Roman" w:cstheme="minorHAnsi"/>
          <w:b/>
          <w:lang w:eastAsia="es-CL"/>
        </w:rPr>
        <w:t>El 20 de marzo de 2012, la Corte Suprema se pronunció sobre un Recurso de Protección (702-2012)</w:t>
      </w:r>
      <w:r w:rsidRPr="005168DC">
        <w:rPr>
          <w:rFonts w:eastAsia="Times New Roman" w:cstheme="minorHAnsi"/>
          <w:lang w:eastAsia="es-CL"/>
        </w:rPr>
        <w:t xml:space="preserve"> interpuesto en contra de la Oficina de Exonerados Políticos. En ese contexto, ratificó la facultad  del Ministerio del Interior y Seguridad Pública de no emitir resoluciones con beneficios previsionales a aquellos exonerados que no cuenten con antecedentes suficientes para acreditar la relación laboral con la entidad de la que señalaron haber sido despedidos. La trascendencia del fallo dice relación con que es posible revisar y paralizar el otorgamiento de pensiones a aquellas personas que habiendo sido calificados previamente, aún no se ha emitido a su respecto, la resolución formal que confiere la calidad de exonerado y/o el beneficio previsional respectivo.</w:t>
      </w:r>
    </w:p>
    <w:p w:rsidR="005F3DF4" w:rsidRPr="005168DC" w:rsidRDefault="005F3DF4" w:rsidP="005F3DF4">
      <w:pPr>
        <w:spacing w:line="240" w:lineRule="auto"/>
        <w:jc w:val="both"/>
        <w:rPr>
          <w:rFonts w:eastAsia="Times New Roman" w:cstheme="minorHAnsi"/>
          <w:b/>
          <w:u w:val="single"/>
          <w:lang w:eastAsia="es-CL"/>
        </w:rPr>
      </w:pPr>
      <w:r w:rsidRPr="005168DC">
        <w:rPr>
          <w:rFonts w:eastAsia="Times New Roman" w:cstheme="minorHAnsi"/>
          <w:b/>
          <w:u w:val="single"/>
          <w:lang w:eastAsia="es-CL"/>
        </w:rPr>
        <w:t xml:space="preserve">RESULTADOS </w:t>
      </w:r>
      <w:r>
        <w:rPr>
          <w:rFonts w:eastAsia="Times New Roman" w:cstheme="minorHAnsi"/>
          <w:b/>
          <w:u w:val="single"/>
          <w:lang w:eastAsia="es-CL"/>
        </w:rPr>
        <w:t xml:space="preserve">DEL </w:t>
      </w:r>
      <w:r w:rsidRPr="005168DC">
        <w:rPr>
          <w:rFonts w:eastAsia="Times New Roman" w:cstheme="minorHAnsi"/>
          <w:b/>
          <w:u w:val="single"/>
          <w:lang w:eastAsia="es-CL"/>
        </w:rPr>
        <w:t>PROCESO DE REVISIÓN DE EXPEDIENTES</w:t>
      </w:r>
    </w:p>
    <w:tbl>
      <w:tblPr>
        <w:tblStyle w:val="Cuadrculavistosa-nfasis1"/>
        <w:tblW w:w="90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2376"/>
        <w:gridCol w:w="1560"/>
        <w:gridCol w:w="2551"/>
        <w:gridCol w:w="2552"/>
      </w:tblGrid>
      <w:tr w:rsidR="005F3DF4" w:rsidRPr="005168DC" w:rsidTr="001E1BCA">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376" w:type="dxa"/>
            <w:noWrap/>
          </w:tcPr>
          <w:p w:rsidR="005F3DF4" w:rsidRPr="005168DC" w:rsidRDefault="005F3DF4" w:rsidP="001E1BCA">
            <w:pPr>
              <w:rPr>
                <w:rFonts w:ascii="Calibri" w:eastAsia="Times New Roman" w:hAnsi="Calibri" w:cs="Calibri"/>
                <w:bCs w:val="0"/>
                <w:color w:val="auto"/>
                <w:lang w:eastAsia="es-CL"/>
              </w:rPr>
            </w:pPr>
            <w:r w:rsidRPr="005168DC">
              <w:rPr>
                <w:rFonts w:ascii="Calibri" w:eastAsia="Times New Roman" w:hAnsi="Calibri" w:cs="Calibri"/>
                <w:bCs w:val="0"/>
                <w:color w:val="auto"/>
                <w:lang w:eastAsia="es-CL"/>
              </w:rPr>
              <w:t>Periodo de revisión</w:t>
            </w:r>
            <w:r w:rsidRPr="005168DC">
              <w:rPr>
                <w:rFonts w:ascii="Calibri" w:eastAsia="Times New Roman" w:hAnsi="Calibri" w:cs="Calibri"/>
                <w:color w:val="auto"/>
                <w:lang w:eastAsia="es-CL"/>
              </w:rPr>
              <w:t xml:space="preserve"> </w:t>
            </w:r>
          </w:p>
        </w:tc>
        <w:tc>
          <w:tcPr>
            <w:tcW w:w="1560" w:type="dxa"/>
          </w:tcPr>
          <w:p w:rsidR="005F3DF4" w:rsidRPr="005168DC" w:rsidRDefault="005F3DF4" w:rsidP="001E1BC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auto"/>
                <w:lang w:eastAsia="es-CL"/>
              </w:rPr>
            </w:pPr>
            <w:r w:rsidRPr="005168DC">
              <w:rPr>
                <w:rFonts w:ascii="Calibri" w:eastAsia="Times New Roman" w:hAnsi="Calibri" w:cs="Calibri"/>
                <w:bCs w:val="0"/>
                <w:color w:val="auto"/>
                <w:lang w:eastAsia="es-CL"/>
              </w:rPr>
              <w:t>Expedientes revisados</w:t>
            </w:r>
            <w:r w:rsidRPr="005168DC">
              <w:rPr>
                <w:rFonts w:ascii="Calibri" w:eastAsia="Times New Roman" w:hAnsi="Calibri" w:cs="Calibri"/>
                <w:color w:val="auto"/>
                <w:lang w:eastAsia="es-CL"/>
              </w:rPr>
              <w:t xml:space="preserve"> </w:t>
            </w:r>
          </w:p>
        </w:tc>
        <w:tc>
          <w:tcPr>
            <w:tcW w:w="2551" w:type="dxa"/>
            <w:noWrap/>
          </w:tcPr>
          <w:p w:rsidR="005F3DF4" w:rsidRPr="005168DC" w:rsidRDefault="005F3DF4" w:rsidP="001E1BC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auto"/>
                <w:lang w:eastAsia="es-CL"/>
              </w:rPr>
            </w:pPr>
            <w:r w:rsidRPr="005168DC">
              <w:rPr>
                <w:rFonts w:ascii="Calibri" w:eastAsia="Times New Roman" w:hAnsi="Calibri" w:cs="Calibri"/>
                <w:bCs w:val="0"/>
                <w:color w:val="auto"/>
                <w:lang w:eastAsia="es-CL"/>
              </w:rPr>
              <w:t>Expedientes sin irregularidades evidentes</w:t>
            </w:r>
          </w:p>
        </w:tc>
        <w:tc>
          <w:tcPr>
            <w:tcW w:w="2552" w:type="dxa"/>
          </w:tcPr>
          <w:p w:rsidR="005F3DF4" w:rsidRPr="005168DC" w:rsidRDefault="005F3DF4" w:rsidP="001E1BC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auto"/>
                <w:lang w:eastAsia="es-CL"/>
              </w:rPr>
            </w:pPr>
            <w:r w:rsidRPr="005168DC">
              <w:rPr>
                <w:rFonts w:ascii="Calibri" w:eastAsia="Times New Roman" w:hAnsi="Calibri" w:cs="Calibri"/>
                <w:bCs w:val="0"/>
                <w:color w:val="auto"/>
                <w:lang w:eastAsia="es-CL"/>
              </w:rPr>
              <w:t>Expedientes con irregularidades evidentes</w:t>
            </w:r>
          </w:p>
        </w:tc>
      </w:tr>
      <w:tr w:rsidR="005F3DF4" w:rsidRPr="005168DC" w:rsidTr="001E1BC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376" w:type="dxa"/>
            <w:noWrap/>
          </w:tcPr>
          <w:p w:rsidR="005F3DF4" w:rsidRPr="005168DC" w:rsidRDefault="005F3DF4" w:rsidP="001E1BCA">
            <w:pPr>
              <w:rPr>
                <w:rFonts w:ascii="Calibri" w:eastAsia="Times New Roman" w:hAnsi="Calibri" w:cs="Calibri"/>
                <w:color w:val="auto"/>
                <w:sz w:val="20"/>
                <w:szCs w:val="20"/>
                <w:lang w:eastAsia="es-CL"/>
              </w:rPr>
            </w:pPr>
            <w:r w:rsidRPr="005168DC">
              <w:rPr>
                <w:rFonts w:ascii="Calibri" w:eastAsia="Times New Roman" w:hAnsi="Calibri" w:cs="Calibri"/>
                <w:color w:val="auto"/>
                <w:sz w:val="20"/>
                <w:szCs w:val="20"/>
                <w:lang w:eastAsia="es-CL"/>
              </w:rPr>
              <w:t xml:space="preserve">Etapa I. </w:t>
            </w:r>
          </w:p>
          <w:p w:rsidR="005F3DF4" w:rsidRPr="005168DC" w:rsidRDefault="005F3DF4" w:rsidP="001E1BCA">
            <w:pPr>
              <w:rPr>
                <w:rFonts w:ascii="Calibri" w:eastAsia="Times New Roman" w:hAnsi="Calibri" w:cs="Calibri"/>
                <w:color w:val="auto"/>
                <w:sz w:val="20"/>
                <w:szCs w:val="20"/>
                <w:lang w:eastAsia="es-CL"/>
              </w:rPr>
            </w:pPr>
            <w:r w:rsidRPr="005168DC">
              <w:rPr>
                <w:rFonts w:ascii="Calibri" w:eastAsia="Times New Roman" w:hAnsi="Calibri" w:cs="Calibri"/>
                <w:color w:val="auto"/>
                <w:sz w:val="20"/>
                <w:szCs w:val="20"/>
                <w:lang w:eastAsia="es-CL"/>
              </w:rPr>
              <w:t>Julio-Agosto 2011</w:t>
            </w:r>
          </w:p>
        </w:tc>
        <w:tc>
          <w:tcPr>
            <w:tcW w:w="1560"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es-CL"/>
              </w:rPr>
            </w:pPr>
            <w:r w:rsidRPr="005168DC">
              <w:rPr>
                <w:rFonts w:ascii="Calibri" w:eastAsia="Times New Roman" w:hAnsi="Calibri" w:cs="Calibri"/>
                <w:color w:val="auto"/>
                <w:lang w:eastAsia="es-CL"/>
              </w:rPr>
              <w:t>4.000</w:t>
            </w:r>
          </w:p>
        </w:tc>
        <w:tc>
          <w:tcPr>
            <w:tcW w:w="2551" w:type="dxa"/>
            <w:noWrap/>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es-CL"/>
              </w:rPr>
            </w:pPr>
            <w:r w:rsidRPr="005168DC">
              <w:rPr>
                <w:rFonts w:ascii="Calibri" w:eastAsia="Times New Roman" w:hAnsi="Calibri" w:cs="Calibri"/>
                <w:color w:val="auto"/>
                <w:lang w:eastAsia="es-CL"/>
              </w:rPr>
              <w:t>3.776</w:t>
            </w:r>
          </w:p>
        </w:tc>
        <w:tc>
          <w:tcPr>
            <w:tcW w:w="2552"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eastAsia="es-CL"/>
              </w:rPr>
            </w:pPr>
            <w:r w:rsidRPr="005168DC">
              <w:rPr>
                <w:rFonts w:ascii="Calibri" w:eastAsia="Times New Roman" w:hAnsi="Calibri" w:cs="Calibri"/>
                <w:color w:val="auto"/>
                <w:lang w:eastAsia="es-CL"/>
              </w:rPr>
              <w:t>224</w:t>
            </w:r>
          </w:p>
        </w:tc>
      </w:tr>
      <w:tr w:rsidR="005F3DF4" w:rsidRPr="005168DC" w:rsidTr="001E1BCA">
        <w:trPr>
          <w:trHeight w:val="570"/>
        </w:trPr>
        <w:tc>
          <w:tcPr>
            <w:cnfStyle w:val="001000000000" w:firstRow="0" w:lastRow="0" w:firstColumn="1" w:lastColumn="0" w:oddVBand="0" w:evenVBand="0" w:oddHBand="0" w:evenHBand="0" w:firstRowFirstColumn="0" w:firstRowLastColumn="0" w:lastRowFirstColumn="0" w:lastRowLastColumn="0"/>
            <w:tcW w:w="2376" w:type="dxa"/>
            <w:noWrap/>
          </w:tcPr>
          <w:p w:rsidR="005F3DF4" w:rsidRPr="005168DC" w:rsidRDefault="005F3DF4" w:rsidP="001E1BCA">
            <w:pPr>
              <w:rPr>
                <w:rFonts w:ascii="Calibri" w:eastAsia="Times New Roman" w:hAnsi="Calibri" w:cs="Calibri"/>
                <w:color w:val="auto"/>
                <w:sz w:val="20"/>
                <w:szCs w:val="20"/>
                <w:lang w:eastAsia="es-CL"/>
              </w:rPr>
            </w:pPr>
            <w:r w:rsidRPr="005168DC">
              <w:rPr>
                <w:rFonts w:ascii="Calibri" w:eastAsia="Times New Roman" w:hAnsi="Calibri" w:cs="Calibri"/>
                <w:color w:val="auto"/>
                <w:sz w:val="20"/>
                <w:szCs w:val="20"/>
                <w:lang w:eastAsia="es-CL"/>
              </w:rPr>
              <w:t>Etapa II.</w:t>
            </w:r>
          </w:p>
          <w:p w:rsidR="005F3DF4" w:rsidRPr="005168DC" w:rsidRDefault="005F3DF4" w:rsidP="001E1BCA">
            <w:pPr>
              <w:rPr>
                <w:rFonts w:ascii="Calibri" w:eastAsia="Times New Roman" w:hAnsi="Calibri" w:cs="Calibri"/>
                <w:color w:val="auto"/>
                <w:sz w:val="20"/>
                <w:szCs w:val="20"/>
                <w:lang w:eastAsia="es-CL"/>
              </w:rPr>
            </w:pPr>
            <w:r w:rsidRPr="005168DC">
              <w:rPr>
                <w:rFonts w:ascii="Calibri" w:eastAsia="Times New Roman" w:hAnsi="Calibri" w:cs="Calibri"/>
                <w:color w:val="auto"/>
                <w:sz w:val="20"/>
                <w:szCs w:val="20"/>
                <w:lang w:eastAsia="es-CL"/>
              </w:rPr>
              <w:t xml:space="preserve">Nov. 2011-Marzo 2012 </w:t>
            </w:r>
          </w:p>
        </w:tc>
        <w:tc>
          <w:tcPr>
            <w:tcW w:w="1560"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es-CL"/>
              </w:rPr>
            </w:pPr>
            <w:r w:rsidRPr="005168DC">
              <w:rPr>
                <w:rFonts w:ascii="Calibri" w:eastAsia="Times New Roman" w:hAnsi="Calibri" w:cs="Calibri"/>
                <w:color w:val="auto"/>
                <w:lang w:eastAsia="es-CL"/>
              </w:rPr>
              <w:t>46.002</w:t>
            </w:r>
          </w:p>
        </w:tc>
        <w:tc>
          <w:tcPr>
            <w:tcW w:w="2551" w:type="dxa"/>
            <w:noWrap/>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es-CL"/>
              </w:rPr>
            </w:pPr>
            <w:r w:rsidRPr="005168DC">
              <w:rPr>
                <w:rFonts w:ascii="Calibri" w:eastAsia="Times New Roman" w:hAnsi="Calibri" w:cs="Calibri"/>
                <w:color w:val="auto"/>
                <w:lang w:eastAsia="es-CL"/>
              </w:rPr>
              <w:t>36.888</w:t>
            </w:r>
          </w:p>
        </w:tc>
        <w:tc>
          <w:tcPr>
            <w:tcW w:w="2552"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eastAsia="es-CL"/>
              </w:rPr>
            </w:pPr>
            <w:r w:rsidRPr="005168DC">
              <w:rPr>
                <w:rFonts w:ascii="Calibri" w:eastAsia="Times New Roman" w:hAnsi="Calibri" w:cs="Calibri"/>
                <w:color w:val="auto"/>
                <w:lang w:eastAsia="es-CL"/>
              </w:rPr>
              <w:t>9.114</w:t>
            </w:r>
          </w:p>
        </w:tc>
      </w:tr>
      <w:tr w:rsidR="005F3DF4" w:rsidRPr="005168DC" w:rsidTr="001E1BC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376" w:type="dxa"/>
            <w:noWrap/>
          </w:tcPr>
          <w:p w:rsidR="005F3DF4" w:rsidRPr="005168DC" w:rsidRDefault="005F3DF4" w:rsidP="001E1BCA">
            <w:pPr>
              <w:rPr>
                <w:rFonts w:ascii="Calibri" w:eastAsia="Times New Roman" w:hAnsi="Calibri" w:cs="Calibri"/>
                <w:b/>
                <w:color w:val="auto"/>
                <w:lang w:eastAsia="es-CL"/>
              </w:rPr>
            </w:pPr>
            <w:r w:rsidRPr="005168DC">
              <w:rPr>
                <w:rFonts w:ascii="Calibri" w:eastAsia="Times New Roman" w:hAnsi="Calibri" w:cs="Calibri"/>
                <w:b/>
                <w:color w:val="auto"/>
                <w:lang w:eastAsia="es-CL"/>
              </w:rPr>
              <w:t>TOTAL</w:t>
            </w:r>
          </w:p>
        </w:tc>
        <w:tc>
          <w:tcPr>
            <w:tcW w:w="1560" w:type="dxa"/>
          </w:tcPr>
          <w:p w:rsidR="005F3DF4" w:rsidRPr="005168DC" w:rsidRDefault="005F3DF4" w:rsidP="001E1BC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auto"/>
                <w:sz w:val="32"/>
                <w:szCs w:val="32"/>
                <w:lang w:eastAsia="es-CL"/>
              </w:rPr>
            </w:pPr>
            <w:r w:rsidRPr="005168DC">
              <w:rPr>
                <w:rFonts w:ascii="Calibri" w:eastAsia="Times New Roman" w:hAnsi="Calibri" w:cs="Calibri"/>
                <w:b/>
                <w:color w:val="auto"/>
                <w:sz w:val="32"/>
                <w:szCs w:val="32"/>
                <w:lang w:eastAsia="es-CL"/>
              </w:rPr>
              <w:t>50.002</w:t>
            </w:r>
          </w:p>
        </w:tc>
        <w:tc>
          <w:tcPr>
            <w:tcW w:w="2551" w:type="dxa"/>
            <w:noWrap/>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auto"/>
                <w:sz w:val="32"/>
                <w:szCs w:val="32"/>
                <w:lang w:eastAsia="es-CL"/>
              </w:rPr>
            </w:pPr>
            <w:r w:rsidRPr="005168DC">
              <w:rPr>
                <w:rFonts w:ascii="Calibri" w:eastAsia="Times New Roman" w:hAnsi="Calibri" w:cs="Calibri"/>
                <w:b/>
                <w:color w:val="auto"/>
                <w:sz w:val="32"/>
                <w:szCs w:val="32"/>
                <w:lang w:eastAsia="es-CL"/>
              </w:rPr>
              <w:t>40.664 (81,3%)</w:t>
            </w:r>
          </w:p>
        </w:tc>
        <w:tc>
          <w:tcPr>
            <w:tcW w:w="2552"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auto"/>
                <w:sz w:val="32"/>
                <w:szCs w:val="32"/>
                <w:lang w:eastAsia="es-CL"/>
              </w:rPr>
            </w:pPr>
            <w:r w:rsidRPr="005168DC">
              <w:rPr>
                <w:rFonts w:ascii="Calibri" w:eastAsia="Times New Roman" w:hAnsi="Calibri" w:cs="Calibri"/>
                <w:b/>
                <w:color w:val="auto"/>
                <w:sz w:val="32"/>
                <w:szCs w:val="32"/>
                <w:lang w:eastAsia="es-CL"/>
              </w:rPr>
              <w:t>9.338 (18.7%)</w:t>
            </w:r>
          </w:p>
        </w:tc>
      </w:tr>
    </w:tbl>
    <w:p w:rsidR="005F3DF4" w:rsidRPr="005168DC" w:rsidRDefault="005F3DF4" w:rsidP="005F3DF4">
      <w:pPr>
        <w:jc w:val="both"/>
        <w:rPr>
          <w:b/>
        </w:rPr>
      </w:pPr>
    </w:p>
    <w:p w:rsidR="005F3DF4" w:rsidRPr="005168DC" w:rsidRDefault="005F3DF4" w:rsidP="005F3DF4">
      <w:pPr>
        <w:pStyle w:val="Prrafodelista"/>
        <w:numPr>
          <w:ilvl w:val="0"/>
          <w:numId w:val="5"/>
        </w:numPr>
        <w:jc w:val="both"/>
        <w:rPr>
          <w:b/>
        </w:rPr>
      </w:pPr>
      <w:r w:rsidRPr="005168DC">
        <w:t xml:space="preserve">Entre los 50.000 expedientes revisados, se detectó </w:t>
      </w:r>
      <w:r w:rsidRPr="005168DC">
        <w:rPr>
          <w:b/>
        </w:rPr>
        <w:t>un 18,7 % de casos que objetivamente no cumplían con los requisitos establecidos en la ley para la calificación de exonerados políticos.</w:t>
      </w:r>
    </w:p>
    <w:p w:rsidR="005F3DF4" w:rsidRPr="005168DC" w:rsidRDefault="005F3DF4" w:rsidP="005F3DF4">
      <w:pPr>
        <w:pStyle w:val="Prrafodelista"/>
        <w:jc w:val="both"/>
      </w:pPr>
    </w:p>
    <w:p w:rsidR="005F3DF4" w:rsidRPr="005168DC" w:rsidRDefault="005F3DF4" w:rsidP="005F3DF4">
      <w:pPr>
        <w:pStyle w:val="Prrafodelista"/>
        <w:numPr>
          <w:ilvl w:val="0"/>
          <w:numId w:val="5"/>
        </w:numPr>
        <w:jc w:val="both"/>
      </w:pPr>
      <w:r w:rsidRPr="005168DC">
        <w:rPr>
          <w:b/>
        </w:rPr>
        <w:t xml:space="preserve">Más del 83% de los casos irregulares se refiere a expedientes en los cuales que no se aportaron antecedentes para acreditar el vínculo laboral con la empresa o institución </w:t>
      </w:r>
      <w:r w:rsidRPr="005168DC">
        <w:rPr>
          <w:b/>
        </w:rPr>
        <w:lastRenderedPageBreak/>
        <w:t>respectiva</w:t>
      </w:r>
      <w:r w:rsidRPr="005168DC">
        <w:t xml:space="preserve">, sino únicamente declaraciones testimoniales o certificados de autoridad, fuera del ámbito de su competencia, lo que no se encuentra autorizado por la ley y dictámenes de la Contraloría. </w:t>
      </w:r>
    </w:p>
    <w:p w:rsidR="005F3DF4" w:rsidRPr="005168DC" w:rsidRDefault="005F3DF4" w:rsidP="005F3DF4">
      <w:pPr>
        <w:pStyle w:val="Prrafodelista"/>
        <w:numPr>
          <w:ilvl w:val="1"/>
          <w:numId w:val="5"/>
        </w:numPr>
        <w:jc w:val="both"/>
        <w:rPr>
          <w:b/>
        </w:rPr>
      </w:pPr>
      <w:r w:rsidRPr="005168DC">
        <w:t xml:space="preserve">Es especialmente significativo en esta categoría, que </w:t>
      </w:r>
      <w:r w:rsidRPr="005168DC">
        <w:rPr>
          <w:b/>
        </w:rPr>
        <w:t>el 30% corresponda a funcionarios públicos, o de empresas públicas, en las que resulta esperable contar con información fidedigna acerca del trabajo y tiempo desempeñado.</w:t>
      </w:r>
    </w:p>
    <w:p w:rsidR="005F3DF4" w:rsidRPr="005168DC" w:rsidRDefault="005F3DF4" w:rsidP="005F3DF4">
      <w:pPr>
        <w:pStyle w:val="Prrafodelista"/>
        <w:ind w:left="1440"/>
        <w:jc w:val="both"/>
      </w:pPr>
    </w:p>
    <w:p w:rsidR="005F3DF4" w:rsidRPr="005168DC" w:rsidRDefault="005F3DF4" w:rsidP="005F3DF4">
      <w:pPr>
        <w:pStyle w:val="Prrafodelista"/>
        <w:numPr>
          <w:ilvl w:val="0"/>
          <w:numId w:val="5"/>
        </w:numPr>
        <w:jc w:val="both"/>
      </w:pPr>
      <w:r w:rsidRPr="005168DC">
        <w:t xml:space="preserve"> En términos patrimoniales, se debe destacar que </w:t>
      </w:r>
      <w:r w:rsidRPr="005168DC">
        <w:rPr>
          <w:b/>
          <w:sz w:val="24"/>
          <w:szCs w:val="24"/>
        </w:rPr>
        <w:t>del total de casos irregulares, 4.922 personas, que representan el 52%, de ese universo, corresponde a personas que fueron beneficiadas con pensión no contributiva, lo que de acuerdo al promedio mínimo de cada pensión, corresponde estimativamente a un gasto fiscal anual de $ 8.800.536.000</w:t>
      </w:r>
      <w:r w:rsidRPr="005168DC">
        <w:t xml:space="preserve">, </w:t>
      </w:r>
      <w:r w:rsidRPr="005168DC">
        <w:rPr>
          <w:b/>
          <w:sz w:val="24"/>
          <w:szCs w:val="24"/>
        </w:rPr>
        <w:t>esto último, sin perjuicio de las variaciones de la cifra derivadas de fallecimientos o renuncias de los beneficiarios.</w:t>
      </w:r>
    </w:p>
    <w:p w:rsidR="005F3DF4" w:rsidRPr="005168DC" w:rsidRDefault="005F3DF4" w:rsidP="005F3DF4">
      <w:pPr>
        <w:pStyle w:val="Prrafodelista"/>
        <w:jc w:val="both"/>
      </w:pPr>
    </w:p>
    <w:p w:rsidR="005F3DF4" w:rsidRPr="005168DC" w:rsidRDefault="005F3DF4" w:rsidP="005F3DF4">
      <w:pPr>
        <w:pStyle w:val="Prrafodelista"/>
        <w:numPr>
          <w:ilvl w:val="0"/>
          <w:numId w:val="5"/>
        </w:numPr>
        <w:jc w:val="both"/>
      </w:pPr>
      <w:r w:rsidRPr="005168DC">
        <w:t xml:space="preserve">Respecto de </w:t>
      </w:r>
      <w:r w:rsidRPr="005168DC">
        <w:rPr>
          <w:b/>
        </w:rPr>
        <w:t>los certificados de autoridades políticas, para efectos de acreditar relación laboral, estos se encontraban presentes en el 19% de los 50.002 expedientes revisados</w:t>
      </w:r>
      <w:r w:rsidRPr="005168DC">
        <w:t xml:space="preserve">. </w:t>
      </w:r>
    </w:p>
    <w:p w:rsidR="005F3DF4" w:rsidRPr="005168DC" w:rsidRDefault="005F3DF4" w:rsidP="005F3DF4">
      <w:pPr>
        <w:pStyle w:val="Prrafodelista"/>
        <w:jc w:val="both"/>
      </w:pPr>
    </w:p>
    <w:p w:rsidR="005F3DF4" w:rsidRPr="005168DC" w:rsidRDefault="005F3DF4" w:rsidP="005F3DF4">
      <w:pPr>
        <w:pStyle w:val="Prrafodelista"/>
        <w:numPr>
          <w:ilvl w:val="1"/>
          <w:numId w:val="5"/>
        </w:numPr>
        <w:jc w:val="both"/>
      </w:pPr>
      <w:r w:rsidRPr="005168DC">
        <w:rPr>
          <w:sz w:val="24"/>
          <w:szCs w:val="24"/>
        </w:rPr>
        <w:t xml:space="preserve">La </w:t>
      </w:r>
      <w:r w:rsidRPr="005168DC">
        <w:rPr>
          <w:b/>
          <w:sz w:val="24"/>
          <w:szCs w:val="24"/>
        </w:rPr>
        <w:t>presencia de certificados de autoridades políticas es muy superior en los casos irregulares -68,6% del universo de casos irregulares</w:t>
      </w:r>
      <w:r w:rsidRPr="005168DC">
        <w:rPr>
          <w:sz w:val="24"/>
          <w:szCs w:val="24"/>
        </w:rPr>
        <w:t xml:space="preserve">- </w:t>
      </w:r>
      <w:r w:rsidRPr="005168DC">
        <w:t>respecto de la presencia en aquellos casos que no presentan irregularidades -, en los cuales alcanza sólo el 7,7% de ese universo-.</w:t>
      </w:r>
    </w:p>
    <w:p w:rsidR="005F3DF4" w:rsidRDefault="005F3DF4" w:rsidP="005F3DF4">
      <w:pPr>
        <w:pStyle w:val="Prrafodelista"/>
        <w:numPr>
          <w:ilvl w:val="1"/>
          <w:numId w:val="5"/>
        </w:numPr>
        <w:jc w:val="both"/>
      </w:pPr>
      <w:r w:rsidRPr="005168DC">
        <w:t>Asimismo  el 69% de los certificados de autoridades políticas presentes en los expedientes con irregularidades, fueron extendidos entre los años 1999 y 2000.  (4.536), lo que se refleja en la tabla y el gráfico siguiente:</w:t>
      </w:r>
    </w:p>
    <w:p w:rsidR="005F3DF4" w:rsidRPr="005168DC" w:rsidRDefault="005F3DF4" w:rsidP="005F3DF4">
      <w:pPr>
        <w:jc w:val="both"/>
      </w:pPr>
      <w:r w:rsidRPr="005168DC">
        <w:rPr>
          <w:b/>
        </w:rPr>
        <w:t>Certificados de autoridades políticas presentes en carpetas revisadas desglosada por años de emisión</w:t>
      </w:r>
    </w:p>
    <w:tbl>
      <w:tblPr>
        <w:tblStyle w:val="Cuadrculavistosa-nfasis1"/>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1795"/>
        <w:gridCol w:w="1795"/>
        <w:gridCol w:w="2755"/>
        <w:gridCol w:w="2835"/>
      </w:tblGrid>
      <w:tr w:rsidR="005F3DF4" w:rsidRPr="005168DC" w:rsidTr="001E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color w:val="auto"/>
              </w:rPr>
            </w:pPr>
            <w:r w:rsidRPr="005168DC">
              <w:rPr>
                <w:color w:val="auto"/>
              </w:rPr>
              <w:t>Año</w:t>
            </w:r>
          </w:p>
        </w:tc>
        <w:tc>
          <w:tcPr>
            <w:tcW w:w="1795" w:type="dxa"/>
          </w:tcPr>
          <w:p w:rsidR="005F3DF4" w:rsidRPr="005168DC" w:rsidRDefault="005F3DF4" w:rsidP="001E1BCA">
            <w:pPr>
              <w:cnfStyle w:val="100000000000" w:firstRow="1" w:lastRow="0" w:firstColumn="0" w:lastColumn="0" w:oddVBand="0" w:evenVBand="0" w:oddHBand="0" w:evenHBand="0" w:firstRowFirstColumn="0" w:firstRowLastColumn="0" w:lastRowFirstColumn="0" w:lastRowLastColumn="0"/>
              <w:rPr>
                <w:color w:val="auto"/>
              </w:rPr>
            </w:pPr>
            <w:r w:rsidRPr="005168DC">
              <w:rPr>
                <w:color w:val="auto"/>
              </w:rPr>
              <w:t>Total de Certificados</w:t>
            </w:r>
          </w:p>
        </w:tc>
        <w:tc>
          <w:tcPr>
            <w:tcW w:w="2755" w:type="dxa"/>
          </w:tcPr>
          <w:p w:rsidR="005F3DF4" w:rsidRPr="005168DC" w:rsidRDefault="005F3DF4" w:rsidP="001E1BCA">
            <w:pPr>
              <w:cnfStyle w:val="100000000000" w:firstRow="1" w:lastRow="0" w:firstColumn="0" w:lastColumn="0" w:oddVBand="0" w:evenVBand="0" w:oddHBand="0" w:evenHBand="0" w:firstRowFirstColumn="0" w:firstRowLastColumn="0" w:lastRowFirstColumn="0" w:lastRowLastColumn="0"/>
              <w:rPr>
                <w:color w:val="auto"/>
              </w:rPr>
            </w:pPr>
            <w:r w:rsidRPr="005168DC">
              <w:rPr>
                <w:color w:val="auto"/>
              </w:rPr>
              <w:t>Certificados en Casos sin irregularidades</w:t>
            </w:r>
          </w:p>
        </w:tc>
        <w:tc>
          <w:tcPr>
            <w:tcW w:w="2835" w:type="dxa"/>
          </w:tcPr>
          <w:p w:rsidR="005F3DF4" w:rsidRPr="005168DC" w:rsidRDefault="005F3DF4" w:rsidP="001E1BCA">
            <w:pPr>
              <w:cnfStyle w:val="100000000000" w:firstRow="1" w:lastRow="0" w:firstColumn="0" w:lastColumn="0" w:oddVBand="0" w:evenVBand="0" w:oddHBand="0" w:evenHBand="0" w:firstRowFirstColumn="0" w:firstRowLastColumn="0" w:lastRowFirstColumn="0" w:lastRowLastColumn="0"/>
              <w:rPr>
                <w:color w:val="auto"/>
              </w:rPr>
            </w:pPr>
            <w:r w:rsidRPr="005168DC">
              <w:rPr>
                <w:color w:val="auto"/>
              </w:rPr>
              <w:t>Certificados en Casos con irregularidades</w:t>
            </w:r>
          </w:p>
        </w:tc>
      </w:tr>
      <w:tr w:rsidR="005F3DF4" w:rsidRPr="005168DC" w:rsidTr="001E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t>1993</w:t>
            </w:r>
          </w:p>
        </w:tc>
        <w:tc>
          <w:tcPr>
            <w:tcW w:w="179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4</w:t>
            </w:r>
          </w:p>
        </w:tc>
        <w:tc>
          <w:tcPr>
            <w:tcW w:w="275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3</w:t>
            </w:r>
          </w:p>
        </w:tc>
        <w:tc>
          <w:tcPr>
            <w:tcW w:w="283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1</w:t>
            </w:r>
          </w:p>
        </w:tc>
      </w:tr>
      <w:tr w:rsidR="005F3DF4" w:rsidRPr="005168DC" w:rsidTr="001E1BCA">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t>1994</w:t>
            </w:r>
          </w:p>
        </w:tc>
        <w:tc>
          <w:tcPr>
            <w:tcW w:w="179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10</w:t>
            </w:r>
          </w:p>
        </w:tc>
        <w:tc>
          <w:tcPr>
            <w:tcW w:w="275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10</w:t>
            </w:r>
          </w:p>
        </w:tc>
        <w:tc>
          <w:tcPr>
            <w:tcW w:w="283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0</w:t>
            </w:r>
          </w:p>
        </w:tc>
      </w:tr>
      <w:tr w:rsidR="005F3DF4" w:rsidRPr="005168DC" w:rsidTr="001E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t>1995</w:t>
            </w:r>
          </w:p>
        </w:tc>
        <w:tc>
          <w:tcPr>
            <w:tcW w:w="179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15</w:t>
            </w:r>
          </w:p>
        </w:tc>
        <w:tc>
          <w:tcPr>
            <w:tcW w:w="275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14</w:t>
            </w:r>
          </w:p>
        </w:tc>
        <w:tc>
          <w:tcPr>
            <w:tcW w:w="283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1</w:t>
            </w:r>
          </w:p>
        </w:tc>
      </w:tr>
      <w:tr w:rsidR="005F3DF4" w:rsidRPr="005168DC" w:rsidTr="001E1BCA">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t>1996</w:t>
            </w:r>
          </w:p>
        </w:tc>
        <w:tc>
          <w:tcPr>
            <w:tcW w:w="179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19</w:t>
            </w:r>
          </w:p>
        </w:tc>
        <w:tc>
          <w:tcPr>
            <w:tcW w:w="275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17</w:t>
            </w:r>
          </w:p>
        </w:tc>
        <w:tc>
          <w:tcPr>
            <w:tcW w:w="283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2</w:t>
            </w:r>
          </w:p>
        </w:tc>
      </w:tr>
      <w:tr w:rsidR="005F3DF4" w:rsidRPr="005168DC" w:rsidTr="001E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t>1997</w:t>
            </w:r>
          </w:p>
        </w:tc>
        <w:tc>
          <w:tcPr>
            <w:tcW w:w="179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77</w:t>
            </w:r>
          </w:p>
        </w:tc>
        <w:tc>
          <w:tcPr>
            <w:tcW w:w="275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53</w:t>
            </w:r>
          </w:p>
        </w:tc>
        <w:tc>
          <w:tcPr>
            <w:tcW w:w="283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24</w:t>
            </w:r>
          </w:p>
        </w:tc>
      </w:tr>
      <w:tr w:rsidR="005F3DF4" w:rsidRPr="005168DC" w:rsidTr="001E1BCA">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t>1998</w:t>
            </w:r>
          </w:p>
        </w:tc>
        <w:tc>
          <w:tcPr>
            <w:tcW w:w="179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162</w:t>
            </w:r>
          </w:p>
        </w:tc>
        <w:tc>
          <w:tcPr>
            <w:tcW w:w="275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73</w:t>
            </w:r>
          </w:p>
        </w:tc>
        <w:tc>
          <w:tcPr>
            <w:tcW w:w="283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89</w:t>
            </w:r>
          </w:p>
        </w:tc>
      </w:tr>
      <w:tr w:rsidR="005F3DF4" w:rsidRPr="005168DC" w:rsidTr="001E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t>1999</w:t>
            </w:r>
          </w:p>
        </w:tc>
        <w:tc>
          <w:tcPr>
            <w:tcW w:w="179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2.163</w:t>
            </w:r>
          </w:p>
        </w:tc>
        <w:tc>
          <w:tcPr>
            <w:tcW w:w="275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831</w:t>
            </w:r>
          </w:p>
        </w:tc>
        <w:tc>
          <w:tcPr>
            <w:tcW w:w="283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1.332</w:t>
            </w:r>
          </w:p>
        </w:tc>
      </w:tr>
      <w:tr w:rsidR="005F3DF4" w:rsidRPr="005168DC" w:rsidTr="001E1BCA">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t>2000</w:t>
            </w:r>
          </w:p>
        </w:tc>
        <w:tc>
          <w:tcPr>
            <w:tcW w:w="179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4.488</w:t>
            </w:r>
          </w:p>
        </w:tc>
        <w:tc>
          <w:tcPr>
            <w:tcW w:w="275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1.284</w:t>
            </w:r>
          </w:p>
        </w:tc>
        <w:tc>
          <w:tcPr>
            <w:tcW w:w="283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3.204</w:t>
            </w:r>
          </w:p>
        </w:tc>
      </w:tr>
      <w:tr w:rsidR="005F3DF4" w:rsidRPr="005168DC" w:rsidTr="001E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lastRenderedPageBreak/>
              <w:t>2001</w:t>
            </w:r>
          </w:p>
        </w:tc>
        <w:tc>
          <w:tcPr>
            <w:tcW w:w="179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1.630</w:t>
            </w:r>
          </w:p>
        </w:tc>
        <w:tc>
          <w:tcPr>
            <w:tcW w:w="275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451</w:t>
            </w:r>
          </w:p>
        </w:tc>
        <w:tc>
          <w:tcPr>
            <w:tcW w:w="283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1.179</w:t>
            </w:r>
          </w:p>
        </w:tc>
      </w:tr>
      <w:tr w:rsidR="005F3DF4" w:rsidRPr="005168DC" w:rsidTr="001E1BCA">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t>2002</w:t>
            </w:r>
          </w:p>
        </w:tc>
        <w:tc>
          <w:tcPr>
            <w:tcW w:w="179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490</w:t>
            </w:r>
          </w:p>
        </w:tc>
        <w:tc>
          <w:tcPr>
            <w:tcW w:w="275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141</w:t>
            </w:r>
          </w:p>
        </w:tc>
        <w:tc>
          <w:tcPr>
            <w:tcW w:w="283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349</w:t>
            </w:r>
          </w:p>
        </w:tc>
      </w:tr>
      <w:tr w:rsidR="005F3DF4" w:rsidRPr="005168DC" w:rsidTr="001E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t>2003</w:t>
            </w:r>
          </w:p>
        </w:tc>
        <w:tc>
          <w:tcPr>
            <w:tcW w:w="179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225</w:t>
            </w:r>
          </w:p>
        </w:tc>
        <w:tc>
          <w:tcPr>
            <w:tcW w:w="275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141</w:t>
            </w:r>
          </w:p>
        </w:tc>
        <w:tc>
          <w:tcPr>
            <w:tcW w:w="283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84</w:t>
            </w:r>
          </w:p>
        </w:tc>
      </w:tr>
      <w:tr w:rsidR="005F3DF4" w:rsidRPr="005168DC" w:rsidTr="001E1BCA">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t>2004</w:t>
            </w:r>
          </w:p>
        </w:tc>
        <w:tc>
          <w:tcPr>
            <w:tcW w:w="179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80</w:t>
            </w:r>
          </w:p>
        </w:tc>
        <w:tc>
          <w:tcPr>
            <w:tcW w:w="275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51</w:t>
            </w:r>
          </w:p>
        </w:tc>
        <w:tc>
          <w:tcPr>
            <w:tcW w:w="283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29</w:t>
            </w:r>
          </w:p>
        </w:tc>
      </w:tr>
      <w:tr w:rsidR="005F3DF4" w:rsidRPr="005168DC" w:rsidTr="001E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t>2005</w:t>
            </w:r>
          </w:p>
        </w:tc>
        <w:tc>
          <w:tcPr>
            <w:tcW w:w="179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20</w:t>
            </w:r>
          </w:p>
        </w:tc>
        <w:tc>
          <w:tcPr>
            <w:tcW w:w="275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10</w:t>
            </w:r>
          </w:p>
        </w:tc>
        <w:tc>
          <w:tcPr>
            <w:tcW w:w="283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10</w:t>
            </w:r>
          </w:p>
        </w:tc>
      </w:tr>
      <w:tr w:rsidR="005F3DF4" w:rsidRPr="005168DC" w:rsidTr="001E1BCA">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t>2006</w:t>
            </w:r>
          </w:p>
        </w:tc>
        <w:tc>
          <w:tcPr>
            <w:tcW w:w="179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20</w:t>
            </w:r>
          </w:p>
        </w:tc>
        <w:tc>
          <w:tcPr>
            <w:tcW w:w="275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17</w:t>
            </w:r>
          </w:p>
        </w:tc>
        <w:tc>
          <w:tcPr>
            <w:tcW w:w="283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3</w:t>
            </w:r>
          </w:p>
        </w:tc>
      </w:tr>
      <w:tr w:rsidR="005F3DF4" w:rsidRPr="005168DC" w:rsidTr="001E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t>2007</w:t>
            </w:r>
          </w:p>
        </w:tc>
        <w:tc>
          <w:tcPr>
            <w:tcW w:w="179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5</w:t>
            </w:r>
          </w:p>
        </w:tc>
        <w:tc>
          <w:tcPr>
            <w:tcW w:w="275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1</w:t>
            </w:r>
          </w:p>
        </w:tc>
        <w:tc>
          <w:tcPr>
            <w:tcW w:w="283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4</w:t>
            </w:r>
          </w:p>
        </w:tc>
      </w:tr>
      <w:tr w:rsidR="005F3DF4" w:rsidRPr="005168DC" w:rsidTr="001E1BCA">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t>2008</w:t>
            </w:r>
          </w:p>
        </w:tc>
        <w:tc>
          <w:tcPr>
            <w:tcW w:w="179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38</w:t>
            </w:r>
          </w:p>
        </w:tc>
        <w:tc>
          <w:tcPr>
            <w:tcW w:w="275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10</w:t>
            </w:r>
          </w:p>
        </w:tc>
        <w:tc>
          <w:tcPr>
            <w:tcW w:w="283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color w:val="auto"/>
              </w:rPr>
            </w:pPr>
            <w:r w:rsidRPr="005168DC">
              <w:rPr>
                <w:color w:val="auto"/>
              </w:rPr>
              <w:t>28</w:t>
            </w:r>
          </w:p>
        </w:tc>
      </w:tr>
      <w:tr w:rsidR="005F3DF4" w:rsidRPr="005168DC" w:rsidTr="001E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t>2009</w:t>
            </w:r>
          </w:p>
        </w:tc>
        <w:tc>
          <w:tcPr>
            <w:tcW w:w="179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51</w:t>
            </w:r>
          </w:p>
        </w:tc>
        <w:tc>
          <w:tcPr>
            <w:tcW w:w="275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19</w:t>
            </w:r>
          </w:p>
        </w:tc>
        <w:tc>
          <w:tcPr>
            <w:tcW w:w="2835"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color w:val="auto"/>
              </w:rPr>
            </w:pPr>
            <w:r w:rsidRPr="005168DC">
              <w:rPr>
                <w:color w:val="auto"/>
              </w:rPr>
              <w:t>32</w:t>
            </w:r>
          </w:p>
        </w:tc>
      </w:tr>
      <w:tr w:rsidR="005F3DF4" w:rsidRPr="005168DC" w:rsidTr="001E1BCA">
        <w:tc>
          <w:tcPr>
            <w:cnfStyle w:val="001000000000" w:firstRow="0" w:lastRow="0" w:firstColumn="1" w:lastColumn="0" w:oddVBand="0" w:evenVBand="0" w:oddHBand="0" w:evenHBand="0" w:firstRowFirstColumn="0" w:firstRowLastColumn="0" w:lastRowFirstColumn="0" w:lastRowLastColumn="0"/>
            <w:tcW w:w="1795" w:type="dxa"/>
          </w:tcPr>
          <w:p w:rsidR="005F3DF4" w:rsidRPr="005168DC" w:rsidRDefault="005F3DF4" w:rsidP="001E1BCA">
            <w:pPr>
              <w:rPr>
                <w:b/>
                <w:color w:val="auto"/>
              </w:rPr>
            </w:pPr>
            <w:r w:rsidRPr="005168DC">
              <w:rPr>
                <w:b/>
                <w:color w:val="auto"/>
              </w:rPr>
              <w:t>TOTAL</w:t>
            </w:r>
          </w:p>
        </w:tc>
        <w:tc>
          <w:tcPr>
            <w:tcW w:w="179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b/>
                <w:color w:val="auto"/>
              </w:rPr>
            </w:pPr>
            <w:r w:rsidRPr="005168DC">
              <w:rPr>
                <w:b/>
                <w:color w:val="auto"/>
              </w:rPr>
              <w:t xml:space="preserve">9.497 (*) </w:t>
            </w:r>
          </w:p>
        </w:tc>
        <w:tc>
          <w:tcPr>
            <w:tcW w:w="275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b/>
                <w:color w:val="auto"/>
              </w:rPr>
            </w:pPr>
            <w:r w:rsidRPr="005168DC">
              <w:rPr>
                <w:b/>
                <w:color w:val="auto"/>
              </w:rPr>
              <w:t>3.126</w:t>
            </w:r>
          </w:p>
        </w:tc>
        <w:tc>
          <w:tcPr>
            <w:tcW w:w="2835"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b/>
                <w:color w:val="auto"/>
              </w:rPr>
            </w:pPr>
            <w:r w:rsidRPr="005168DC">
              <w:rPr>
                <w:b/>
                <w:color w:val="auto"/>
              </w:rPr>
              <w:t>6.371</w:t>
            </w:r>
          </w:p>
        </w:tc>
      </w:tr>
    </w:tbl>
    <w:p w:rsidR="005F3DF4" w:rsidRPr="005168DC" w:rsidRDefault="005F3DF4" w:rsidP="005F3DF4">
      <w:pPr>
        <w:rPr>
          <w:b/>
          <w:u w:val="single"/>
        </w:rPr>
      </w:pPr>
    </w:p>
    <w:p w:rsidR="005F3DF4" w:rsidRPr="005168DC" w:rsidRDefault="005F3DF4" w:rsidP="005F3DF4">
      <w:pPr>
        <w:rPr>
          <w:b/>
          <w:u w:val="single"/>
        </w:rPr>
      </w:pPr>
      <w:r w:rsidRPr="005168DC">
        <w:rPr>
          <w:b/>
          <w:u w:val="single"/>
        </w:rPr>
        <w:t xml:space="preserve">                         </w:t>
      </w:r>
      <w:r w:rsidRPr="005168DC">
        <w:rPr>
          <w:b/>
          <w:noProof/>
          <w:u w:val="single"/>
          <w:lang w:eastAsia="es-CL"/>
        </w:rPr>
        <w:drawing>
          <wp:inline distT="0" distB="0" distL="0" distR="0" wp14:anchorId="2D31C45C" wp14:editId="6946D4F0">
            <wp:extent cx="3400425" cy="1819275"/>
            <wp:effectExtent l="152400" t="114300" r="142875" b="857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F3DF4" w:rsidRPr="005168DC" w:rsidRDefault="005F3DF4" w:rsidP="005F3DF4">
      <w:pPr>
        <w:rPr>
          <w:b/>
        </w:rPr>
      </w:pPr>
      <w:r w:rsidRPr="005168DC">
        <w:t>(*) No todos los certificados tienen asociado año de emisión, lo que explica la diferencia del número total de certificados con el número que arroja la suma de los años de emisión.</w:t>
      </w:r>
    </w:p>
    <w:p w:rsidR="005F3DF4" w:rsidRPr="005168DC" w:rsidRDefault="005F3DF4" w:rsidP="005F3DF4">
      <w:pPr>
        <w:jc w:val="both"/>
        <w:rPr>
          <w:rFonts w:cstheme="minorHAnsi"/>
          <w:b/>
        </w:rPr>
      </w:pPr>
      <w:r w:rsidRPr="005168DC">
        <w:rPr>
          <w:b/>
        </w:rPr>
        <w:t>Detalle de número de certificados de Parlamentarios dentro de expedientes con irregularidades, (</w:t>
      </w:r>
      <w:r>
        <w:rPr>
          <w:b/>
        </w:rPr>
        <w:t xml:space="preserve">En este cuadro se mencionan sólo </w:t>
      </w:r>
      <w:r w:rsidRPr="005168DC">
        <w:rPr>
          <w:b/>
        </w:rPr>
        <w:t>aquellas aut</w:t>
      </w:r>
      <w:r>
        <w:rPr>
          <w:b/>
        </w:rPr>
        <w:t>oridades que tienen más de 100)</w:t>
      </w:r>
    </w:p>
    <w:tbl>
      <w:tblPr>
        <w:tblW w:w="8838" w:type="dxa"/>
        <w:tblInd w:w="70" w:type="dxa"/>
        <w:tblCellMar>
          <w:left w:w="70" w:type="dxa"/>
          <w:right w:w="70" w:type="dxa"/>
        </w:tblCellMar>
        <w:tblLook w:val="04A0" w:firstRow="1" w:lastRow="0" w:firstColumn="1" w:lastColumn="0" w:noHBand="0" w:noVBand="1"/>
      </w:tblPr>
      <w:tblGrid>
        <w:gridCol w:w="5971"/>
        <w:gridCol w:w="2867"/>
      </w:tblGrid>
      <w:tr w:rsidR="005F3DF4" w:rsidRPr="005168DC" w:rsidTr="001E1BCA">
        <w:trPr>
          <w:trHeight w:val="315"/>
        </w:trPr>
        <w:tc>
          <w:tcPr>
            <w:tcW w:w="2649" w:type="dxa"/>
            <w:tcBorders>
              <w:top w:val="nil"/>
              <w:left w:val="nil"/>
              <w:bottom w:val="single" w:sz="8" w:space="0" w:color="FFFFFF"/>
              <w:right w:val="nil"/>
            </w:tcBorders>
            <w:shd w:val="clear" w:color="000000" w:fill="B8CCE4"/>
            <w:noWrap/>
            <w:hideMark/>
          </w:tcPr>
          <w:p w:rsidR="005F3DF4" w:rsidRPr="005168DC" w:rsidRDefault="005F3DF4" w:rsidP="001E1BCA">
            <w:pPr>
              <w:spacing w:after="0" w:line="240" w:lineRule="auto"/>
              <w:rPr>
                <w:rFonts w:ascii="Calibri" w:eastAsia="Times New Roman" w:hAnsi="Calibri" w:cs="Times New Roman"/>
                <w:b/>
                <w:bCs/>
                <w:lang w:eastAsia="es-CL"/>
              </w:rPr>
            </w:pPr>
            <w:r w:rsidRPr="005168DC">
              <w:rPr>
                <w:rFonts w:ascii="Calibri" w:eastAsia="Times New Roman" w:hAnsi="Calibri" w:cs="Times New Roman"/>
                <w:b/>
                <w:bCs/>
                <w:lang w:eastAsia="es-CL"/>
              </w:rPr>
              <w:t xml:space="preserve">ISABEL ALLENDE </w:t>
            </w:r>
          </w:p>
        </w:tc>
        <w:tc>
          <w:tcPr>
            <w:tcW w:w="1272" w:type="dxa"/>
            <w:tcBorders>
              <w:top w:val="nil"/>
              <w:left w:val="nil"/>
              <w:bottom w:val="single" w:sz="8" w:space="0" w:color="FFFFFF"/>
              <w:right w:val="nil"/>
            </w:tcBorders>
            <w:shd w:val="clear" w:color="000000" w:fill="B8CCE4"/>
            <w:noWrap/>
            <w:hideMark/>
          </w:tcPr>
          <w:p w:rsidR="005F3DF4" w:rsidRPr="005168DC" w:rsidRDefault="005F3DF4" w:rsidP="001E1BCA">
            <w:pPr>
              <w:spacing w:after="0" w:line="240" w:lineRule="auto"/>
              <w:jc w:val="center"/>
              <w:rPr>
                <w:rFonts w:ascii="Calibri" w:eastAsia="Times New Roman" w:hAnsi="Calibri" w:cs="Times New Roman"/>
                <w:b/>
                <w:bCs/>
                <w:lang w:eastAsia="es-CL"/>
              </w:rPr>
            </w:pPr>
            <w:r w:rsidRPr="005168DC">
              <w:rPr>
                <w:rFonts w:ascii="Calibri" w:eastAsia="Times New Roman" w:hAnsi="Calibri" w:cs="Times New Roman"/>
                <w:b/>
                <w:bCs/>
                <w:lang w:eastAsia="es-CL"/>
              </w:rPr>
              <w:t>1.190</w:t>
            </w:r>
          </w:p>
        </w:tc>
      </w:tr>
      <w:tr w:rsidR="005F3DF4" w:rsidRPr="005168DC" w:rsidTr="001E1BCA">
        <w:trPr>
          <w:trHeight w:val="315"/>
        </w:trPr>
        <w:tc>
          <w:tcPr>
            <w:tcW w:w="2649" w:type="dxa"/>
            <w:tcBorders>
              <w:top w:val="nil"/>
              <w:left w:val="nil"/>
              <w:bottom w:val="single" w:sz="8" w:space="0" w:color="FFFFFF"/>
              <w:right w:val="nil"/>
            </w:tcBorders>
            <w:shd w:val="clear" w:color="000000" w:fill="365F91"/>
            <w:noWrap/>
            <w:hideMark/>
          </w:tcPr>
          <w:p w:rsidR="005F3DF4" w:rsidRPr="005168DC" w:rsidRDefault="005F3DF4" w:rsidP="001E1BCA">
            <w:pPr>
              <w:spacing w:after="0" w:line="240" w:lineRule="auto"/>
              <w:rPr>
                <w:rFonts w:ascii="Calibri" w:eastAsia="Times New Roman" w:hAnsi="Calibri" w:cs="Times New Roman"/>
                <w:b/>
                <w:bCs/>
                <w:lang w:eastAsia="es-CL"/>
              </w:rPr>
            </w:pPr>
            <w:r w:rsidRPr="005168DC">
              <w:rPr>
                <w:rFonts w:ascii="Calibri" w:eastAsia="Times New Roman" w:hAnsi="Calibri" w:cs="Times New Roman"/>
                <w:b/>
                <w:bCs/>
                <w:lang w:eastAsia="es-CL"/>
              </w:rPr>
              <w:t xml:space="preserve">SERGIO OJEDA </w:t>
            </w:r>
          </w:p>
        </w:tc>
        <w:tc>
          <w:tcPr>
            <w:tcW w:w="1272" w:type="dxa"/>
            <w:tcBorders>
              <w:top w:val="nil"/>
              <w:left w:val="nil"/>
              <w:bottom w:val="single" w:sz="8" w:space="0" w:color="FFFFFF"/>
              <w:right w:val="nil"/>
            </w:tcBorders>
            <w:shd w:val="clear" w:color="000000" w:fill="A7BFDE"/>
            <w:noWrap/>
            <w:hideMark/>
          </w:tcPr>
          <w:p w:rsidR="005F3DF4" w:rsidRPr="005168DC" w:rsidRDefault="005F3DF4" w:rsidP="001E1BCA">
            <w:pPr>
              <w:spacing w:after="0" w:line="240" w:lineRule="auto"/>
              <w:jc w:val="center"/>
              <w:rPr>
                <w:rFonts w:ascii="Calibri" w:eastAsia="Times New Roman" w:hAnsi="Calibri" w:cs="Times New Roman"/>
                <w:b/>
                <w:bCs/>
                <w:lang w:eastAsia="es-CL"/>
              </w:rPr>
            </w:pPr>
            <w:r w:rsidRPr="005168DC">
              <w:rPr>
                <w:rFonts w:ascii="Calibri" w:eastAsia="Times New Roman" w:hAnsi="Calibri" w:cs="Times New Roman"/>
                <w:b/>
                <w:bCs/>
                <w:lang w:eastAsia="es-CL"/>
              </w:rPr>
              <w:t>684</w:t>
            </w:r>
          </w:p>
        </w:tc>
      </w:tr>
      <w:tr w:rsidR="005F3DF4" w:rsidRPr="005168DC" w:rsidTr="001E1BCA">
        <w:trPr>
          <w:trHeight w:val="315"/>
        </w:trPr>
        <w:tc>
          <w:tcPr>
            <w:tcW w:w="2649" w:type="dxa"/>
            <w:tcBorders>
              <w:top w:val="nil"/>
              <w:left w:val="nil"/>
              <w:bottom w:val="single" w:sz="8" w:space="0" w:color="FFFFFF"/>
              <w:right w:val="nil"/>
            </w:tcBorders>
            <w:shd w:val="clear" w:color="000000" w:fill="365F91"/>
            <w:noWrap/>
            <w:hideMark/>
          </w:tcPr>
          <w:p w:rsidR="005F3DF4" w:rsidRPr="005168DC" w:rsidRDefault="005F3DF4" w:rsidP="001E1BCA">
            <w:pPr>
              <w:spacing w:after="0" w:line="240" w:lineRule="auto"/>
              <w:rPr>
                <w:rFonts w:ascii="Calibri" w:eastAsia="Times New Roman" w:hAnsi="Calibri" w:cs="Times New Roman"/>
                <w:b/>
                <w:bCs/>
                <w:lang w:eastAsia="es-CL"/>
              </w:rPr>
            </w:pPr>
            <w:r w:rsidRPr="005168DC">
              <w:rPr>
                <w:rFonts w:ascii="Calibri" w:eastAsia="Times New Roman" w:hAnsi="Calibri" w:cs="Times New Roman"/>
                <w:b/>
                <w:bCs/>
                <w:lang w:eastAsia="es-CL"/>
              </w:rPr>
              <w:t xml:space="preserve">CARLOS JARPA </w:t>
            </w:r>
          </w:p>
        </w:tc>
        <w:tc>
          <w:tcPr>
            <w:tcW w:w="1272" w:type="dxa"/>
            <w:tcBorders>
              <w:top w:val="nil"/>
              <w:left w:val="nil"/>
              <w:bottom w:val="single" w:sz="8" w:space="0" w:color="FFFFFF"/>
              <w:right w:val="nil"/>
            </w:tcBorders>
            <w:shd w:val="clear" w:color="000000" w:fill="DBE5F1"/>
            <w:noWrap/>
            <w:hideMark/>
          </w:tcPr>
          <w:p w:rsidR="005F3DF4" w:rsidRPr="005168DC" w:rsidRDefault="005F3DF4" w:rsidP="001E1BCA">
            <w:pPr>
              <w:spacing w:after="0" w:line="240" w:lineRule="auto"/>
              <w:jc w:val="center"/>
              <w:rPr>
                <w:rFonts w:ascii="Calibri" w:eastAsia="Times New Roman" w:hAnsi="Calibri" w:cs="Times New Roman"/>
                <w:b/>
                <w:bCs/>
                <w:lang w:eastAsia="es-CL"/>
              </w:rPr>
            </w:pPr>
            <w:r w:rsidRPr="005168DC">
              <w:rPr>
                <w:rFonts w:ascii="Calibri" w:eastAsia="Times New Roman" w:hAnsi="Calibri" w:cs="Times New Roman"/>
                <w:b/>
                <w:bCs/>
                <w:lang w:eastAsia="es-CL"/>
              </w:rPr>
              <w:t>610</w:t>
            </w:r>
          </w:p>
        </w:tc>
      </w:tr>
      <w:tr w:rsidR="005F3DF4" w:rsidRPr="005168DC" w:rsidTr="001E1BCA">
        <w:trPr>
          <w:trHeight w:val="315"/>
        </w:trPr>
        <w:tc>
          <w:tcPr>
            <w:tcW w:w="2649" w:type="dxa"/>
            <w:tcBorders>
              <w:top w:val="nil"/>
              <w:left w:val="nil"/>
              <w:bottom w:val="single" w:sz="8" w:space="0" w:color="FFFFFF"/>
              <w:right w:val="nil"/>
            </w:tcBorders>
            <w:shd w:val="clear" w:color="000000" w:fill="365F91"/>
            <w:noWrap/>
            <w:hideMark/>
          </w:tcPr>
          <w:p w:rsidR="005F3DF4" w:rsidRPr="005168DC" w:rsidRDefault="005F3DF4" w:rsidP="001E1BCA">
            <w:pPr>
              <w:spacing w:after="0" w:line="240" w:lineRule="auto"/>
              <w:rPr>
                <w:rFonts w:ascii="Calibri" w:eastAsia="Times New Roman" w:hAnsi="Calibri" w:cs="Times New Roman"/>
                <w:b/>
                <w:bCs/>
                <w:lang w:eastAsia="es-CL"/>
              </w:rPr>
            </w:pPr>
            <w:r w:rsidRPr="005168DC">
              <w:rPr>
                <w:rFonts w:ascii="Calibri" w:eastAsia="Times New Roman" w:hAnsi="Calibri" w:cs="Times New Roman"/>
                <w:b/>
                <w:bCs/>
                <w:lang w:eastAsia="es-CL"/>
              </w:rPr>
              <w:t xml:space="preserve">ENRIQUE  JARAMILLO </w:t>
            </w:r>
          </w:p>
        </w:tc>
        <w:tc>
          <w:tcPr>
            <w:tcW w:w="1272" w:type="dxa"/>
            <w:tcBorders>
              <w:top w:val="nil"/>
              <w:left w:val="nil"/>
              <w:bottom w:val="single" w:sz="8" w:space="0" w:color="FFFFFF"/>
              <w:right w:val="nil"/>
            </w:tcBorders>
            <w:shd w:val="clear" w:color="000000" w:fill="A7BFDE"/>
            <w:noWrap/>
            <w:hideMark/>
          </w:tcPr>
          <w:p w:rsidR="005F3DF4" w:rsidRPr="005168DC" w:rsidRDefault="005F3DF4" w:rsidP="001E1BCA">
            <w:pPr>
              <w:spacing w:after="0" w:line="240" w:lineRule="auto"/>
              <w:jc w:val="center"/>
              <w:rPr>
                <w:rFonts w:ascii="Calibri" w:eastAsia="Times New Roman" w:hAnsi="Calibri" w:cs="Times New Roman"/>
                <w:b/>
                <w:bCs/>
                <w:lang w:eastAsia="es-CL"/>
              </w:rPr>
            </w:pPr>
            <w:r w:rsidRPr="005168DC">
              <w:rPr>
                <w:rFonts w:ascii="Calibri" w:eastAsia="Times New Roman" w:hAnsi="Calibri" w:cs="Times New Roman"/>
                <w:b/>
                <w:bCs/>
                <w:lang w:eastAsia="es-CL"/>
              </w:rPr>
              <w:t>452</w:t>
            </w:r>
          </w:p>
        </w:tc>
      </w:tr>
      <w:tr w:rsidR="005F3DF4" w:rsidRPr="005168DC" w:rsidTr="001E1BCA">
        <w:trPr>
          <w:trHeight w:val="315"/>
        </w:trPr>
        <w:tc>
          <w:tcPr>
            <w:tcW w:w="2649" w:type="dxa"/>
            <w:tcBorders>
              <w:top w:val="nil"/>
              <w:left w:val="nil"/>
              <w:bottom w:val="single" w:sz="8" w:space="0" w:color="FFFFFF"/>
              <w:right w:val="nil"/>
            </w:tcBorders>
            <w:shd w:val="clear" w:color="000000" w:fill="365F91"/>
            <w:noWrap/>
            <w:hideMark/>
          </w:tcPr>
          <w:p w:rsidR="005F3DF4" w:rsidRPr="005168DC" w:rsidRDefault="005F3DF4" w:rsidP="001E1BCA">
            <w:pPr>
              <w:spacing w:after="0" w:line="240" w:lineRule="auto"/>
              <w:rPr>
                <w:rFonts w:ascii="Calibri" w:eastAsia="Times New Roman" w:hAnsi="Calibri" w:cs="Times New Roman"/>
                <w:b/>
                <w:bCs/>
                <w:lang w:eastAsia="es-CL"/>
              </w:rPr>
            </w:pPr>
            <w:r w:rsidRPr="005168DC">
              <w:rPr>
                <w:rFonts w:ascii="Calibri" w:eastAsia="Times New Roman" w:hAnsi="Calibri" w:cs="Times New Roman"/>
                <w:b/>
                <w:bCs/>
                <w:lang w:eastAsia="es-CL"/>
              </w:rPr>
              <w:t xml:space="preserve">EDMUNDO VILLOUTA </w:t>
            </w:r>
          </w:p>
        </w:tc>
        <w:tc>
          <w:tcPr>
            <w:tcW w:w="1272" w:type="dxa"/>
            <w:tcBorders>
              <w:top w:val="nil"/>
              <w:left w:val="nil"/>
              <w:bottom w:val="single" w:sz="8" w:space="0" w:color="FFFFFF"/>
              <w:right w:val="nil"/>
            </w:tcBorders>
            <w:shd w:val="clear" w:color="000000" w:fill="DBE5F1"/>
            <w:noWrap/>
            <w:hideMark/>
          </w:tcPr>
          <w:p w:rsidR="005F3DF4" w:rsidRPr="005168DC" w:rsidRDefault="005F3DF4" w:rsidP="001E1BCA">
            <w:pPr>
              <w:spacing w:after="0" w:line="240" w:lineRule="auto"/>
              <w:jc w:val="center"/>
              <w:rPr>
                <w:rFonts w:ascii="Calibri" w:eastAsia="Times New Roman" w:hAnsi="Calibri" w:cs="Times New Roman"/>
                <w:b/>
                <w:bCs/>
                <w:lang w:eastAsia="es-CL"/>
              </w:rPr>
            </w:pPr>
            <w:r w:rsidRPr="005168DC">
              <w:rPr>
                <w:rFonts w:ascii="Calibri" w:eastAsia="Times New Roman" w:hAnsi="Calibri" w:cs="Times New Roman"/>
                <w:b/>
                <w:bCs/>
                <w:lang w:eastAsia="es-CL"/>
              </w:rPr>
              <w:t>422</w:t>
            </w:r>
          </w:p>
        </w:tc>
      </w:tr>
      <w:tr w:rsidR="005F3DF4" w:rsidRPr="005168DC" w:rsidTr="001E1BCA">
        <w:trPr>
          <w:trHeight w:val="315"/>
        </w:trPr>
        <w:tc>
          <w:tcPr>
            <w:tcW w:w="2649" w:type="dxa"/>
            <w:tcBorders>
              <w:top w:val="nil"/>
              <w:left w:val="nil"/>
              <w:bottom w:val="single" w:sz="8" w:space="0" w:color="FFFFFF"/>
              <w:right w:val="nil"/>
            </w:tcBorders>
            <w:shd w:val="clear" w:color="000000" w:fill="365F91"/>
            <w:noWrap/>
            <w:hideMark/>
          </w:tcPr>
          <w:p w:rsidR="005F3DF4" w:rsidRPr="005168DC" w:rsidRDefault="005F3DF4" w:rsidP="001E1BCA">
            <w:pPr>
              <w:spacing w:after="0" w:line="240" w:lineRule="auto"/>
              <w:rPr>
                <w:rFonts w:ascii="Calibri" w:eastAsia="Times New Roman" w:hAnsi="Calibri" w:cs="Times New Roman"/>
                <w:b/>
                <w:bCs/>
                <w:lang w:eastAsia="es-CL"/>
              </w:rPr>
            </w:pPr>
            <w:r w:rsidRPr="005168DC">
              <w:rPr>
                <w:rFonts w:ascii="Calibri" w:eastAsia="Times New Roman" w:hAnsi="Calibri" w:cs="Times New Roman"/>
                <w:b/>
                <w:bCs/>
                <w:lang w:eastAsia="es-CL"/>
              </w:rPr>
              <w:t xml:space="preserve">ALEJANDRO NAVARRO </w:t>
            </w:r>
          </w:p>
        </w:tc>
        <w:tc>
          <w:tcPr>
            <w:tcW w:w="1272" w:type="dxa"/>
            <w:tcBorders>
              <w:top w:val="nil"/>
              <w:left w:val="nil"/>
              <w:bottom w:val="single" w:sz="8" w:space="0" w:color="FFFFFF"/>
              <w:right w:val="nil"/>
            </w:tcBorders>
            <w:shd w:val="clear" w:color="000000" w:fill="A7BFDE"/>
            <w:noWrap/>
            <w:hideMark/>
          </w:tcPr>
          <w:p w:rsidR="005F3DF4" w:rsidRPr="005168DC" w:rsidRDefault="005F3DF4" w:rsidP="001E1BCA">
            <w:pPr>
              <w:spacing w:after="0" w:line="240" w:lineRule="auto"/>
              <w:jc w:val="center"/>
              <w:rPr>
                <w:rFonts w:ascii="Calibri" w:eastAsia="Times New Roman" w:hAnsi="Calibri" w:cs="Times New Roman"/>
                <w:b/>
                <w:bCs/>
                <w:lang w:eastAsia="es-CL"/>
              </w:rPr>
            </w:pPr>
            <w:r w:rsidRPr="005168DC">
              <w:rPr>
                <w:rFonts w:ascii="Calibri" w:eastAsia="Times New Roman" w:hAnsi="Calibri" w:cs="Times New Roman"/>
                <w:b/>
                <w:bCs/>
                <w:lang w:eastAsia="es-CL"/>
              </w:rPr>
              <w:t>408</w:t>
            </w:r>
          </w:p>
        </w:tc>
      </w:tr>
      <w:tr w:rsidR="005F3DF4" w:rsidRPr="005168DC" w:rsidTr="001E1BCA">
        <w:trPr>
          <w:trHeight w:val="315"/>
        </w:trPr>
        <w:tc>
          <w:tcPr>
            <w:tcW w:w="2649" w:type="dxa"/>
            <w:tcBorders>
              <w:top w:val="nil"/>
              <w:left w:val="nil"/>
              <w:bottom w:val="single" w:sz="8" w:space="0" w:color="FFFFFF"/>
              <w:right w:val="nil"/>
            </w:tcBorders>
            <w:shd w:val="clear" w:color="000000" w:fill="365F91"/>
            <w:noWrap/>
            <w:hideMark/>
          </w:tcPr>
          <w:p w:rsidR="005F3DF4" w:rsidRPr="005168DC" w:rsidRDefault="005F3DF4" w:rsidP="001E1BCA">
            <w:pPr>
              <w:spacing w:after="0" w:line="240" w:lineRule="auto"/>
              <w:rPr>
                <w:rFonts w:ascii="Calibri" w:eastAsia="Times New Roman" w:hAnsi="Calibri" w:cs="Times New Roman"/>
                <w:b/>
                <w:bCs/>
                <w:lang w:eastAsia="es-CL"/>
              </w:rPr>
            </w:pPr>
            <w:r w:rsidRPr="005168DC">
              <w:rPr>
                <w:rFonts w:ascii="Calibri" w:eastAsia="Times New Roman" w:hAnsi="Calibri" w:cs="Times New Roman"/>
                <w:b/>
                <w:bCs/>
                <w:lang w:eastAsia="es-CL"/>
              </w:rPr>
              <w:t xml:space="preserve">JAIME GAZMURI </w:t>
            </w:r>
          </w:p>
        </w:tc>
        <w:tc>
          <w:tcPr>
            <w:tcW w:w="1272" w:type="dxa"/>
            <w:tcBorders>
              <w:top w:val="nil"/>
              <w:left w:val="nil"/>
              <w:bottom w:val="single" w:sz="8" w:space="0" w:color="FFFFFF"/>
              <w:right w:val="nil"/>
            </w:tcBorders>
            <w:shd w:val="clear" w:color="000000" w:fill="DBE5F1"/>
            <w:noWrap/>
            <w:hideMark/>
          </w:tcPr>
          <w:p w:rsidR="005F3DF4" w:rsidRPr="005168DC" w:rsidRDefault="005F3DF4" w:rsidP="001E1BCA">
            <w:pPr>
              <w:spacing w:after="0" w:line="240" w:lineRule="auto"/>
              <w:jc w:val="center"/>
              <w:rPr>
                <w:rFonts w:ascii="Calibri" w:eastAsia="Times New Roman" w:hAnsi="Calibri" w:cs="Times New Roman"/>
                <w:b/>
                <w:bCs/>
                <w:lang w:eastAsia="es-CL"/>
              </w:rPr>
            </w:pPr>
            <w:r w:rsidRPr="005168DC">
              <w:rPr>
                <w:rFonts w:ascii="Calibri" w:eastAsia="Times New Roman" w:hAnsi="Calibri" w:cs="Times New Roman"/>
                <w:b/>
                <w:bCs/>
                <w:lang w:eastAsia="es-CL"/>
              </w:rPr>
              <w:t>348</w:t>
            </w:r>
          </w:p>
        </w:tc>
      </w:tr>
      <w:tr w:rsidR="005F3DF4" w:rsidRPr="005168DC" w:rsidTr="001E1BCA">
        <w:trPr>
          <w:trHeight w:val="315"/>
        </w:trPr>
        <w:tc>
          <w:tcPr>
            <w:tcW w:w="2649" w:type="dxa"/>
            <w:tcBorders>
              <w:top w:val="nil"/>
              <w:left w:val="nil"/>
              <w:bottom w:val="single" w:sz="8" w:space="0" w:color="FFFFFF"/>
              <w:right w:val="nil"/>
            </w:tcBorders>
            <w:shd w:val="clear" w:color="000000" w:fill="365F91"/>
            <w:noWrap/>
            <w:hideMark/>
          </w:tcPr>
          <w:p w:rsidR="005F3DF4" w:rsidRPr="005168DC" w:rsidRDefault="005F3DF4" w:rsidP="001E1BCA">
            <w:pPr>
              <w:spacing w:after="0" w:line="240" w:lineRule="auto"/>
              <w:rPr>
                <w:rFonts w:ascii="Calibri" w:eastAsia="Times New Roman" w:hAnsi="Calibri" w:cs="Times New Roman"/>
                <w:b/>
                <w:bCs/>
                <w:lang w:eastAsia="es-CL"/>
              </w:rPr>
            </w:pPr>
            <w:r w:rsidRPr="005168DC">
              <w:rPr>
                <w:rFonts w:ascii="Calibri" w:eastAsia="Times New Roman" w:hAnsi="Calibri" w:cs="Times New Roman"/>
                <w:b/>
                <w:bCs/>
                <w:lang w:eastAsia="es-CL"/>
              </w:rPr>
              <w:t xml:space="preserve">JAIME NARANJO </w:t>
            </w:r>
          </w:p>
        </w:tc>
        <w:tc>
          <w:tcPr>
            <w:tcW w:w="1272" w:type="dxa"/>
            <w:tcBorders>
              <w:top w:val="nil"/>
              <w:left w:val="nil"/>
              <w:bottom w:val="single" w:sz="8" w:space="0" w:color="FFFFFF"/>
              <w:right w:val="nil"/>
            </w:tcBorders>
            <w:shd w:val="clear" w:color="000000" w:fill="A7BFDE"/>
            <w:noWrap/>
            <w:hideMark/>
          </w:tcPr>
          <w:p w:rsidR="005F3DF4" w:rsidRPr="005168DC" w:rsidRDefault="005F3DF4" w:rsidP="001E1BCA">
            <w:pPr>
              <w:spacing w:after="0" w:line="240" w:lineRule="auto"/>
              <w:jc w:val="center"/>
              <w:rPr>
                <w:rFonts w:ascii="Calibri" w:eastAsia="Times New Roman" w:hAnsi="Calibri" w:cs="Times New Roman"/>
                <w:b/>
                <w:bCs/>
                <w:lang w:eastAsia="es-CL"/>
              </w:rPr>
            </w:pPr>
            <w:r w:rsidRPr="005168DC">
              <w:rPr>
                <w:rFonts w:ascii="Calibri" w:eastAsia="Times New Roman" w:hAnsi="Calibri" w:cs="Times New Roman"/>
                <w:b/>
                <w:bCs/>
                <w:lang w:eastAsia="es-CL"/>
              </w:rPr>
              <w:t>274</w:t>
            </w:r>
          </w:p>
        </w:tc>
      </w:tr>
      <w:tr w:rsidR="005F3DF4" w:rsidRPr="005168DC" w:rsidTr="001E1BCA">
        <w:trPr>
          <w:trHeight w:val="315"/>
        </w:trPr>
        <w:tc>
          <w:tcPr>
            <w:tcW w:w="2649" w:type="dxa"/>
            <w:tcBorders>
              <w:top w:val="nil"/>
              <w:left w:val="nil"/>
              <w:bottom w:val="single" w:sz="8" w:space="0" w:color="FFFFFF"/>
              <w:right w:val="nil"/>
            </w:tcBorders>
            <w:shd w:val="clear" w:color="000000" w:fill="365F91"/>
            <w:noWrap/>
            <w:hideMark/>
          </w:tcPr>
          <w:p w:rsidR="005F3DF4" w:rsidRPr="005168DC" w:rsidRDefault="005F3DF4" w:rsidP="001E1BCA">
            <w:pPr>
              <w:spacing w:after="0" w:line="240" w:lineRule="auto"/>
              <w:rPr>
                <w:rFonts w:ascii="Calibri" w:eastAsia="Times New Roman" w:hAnsi="Calibri" w:cs="Times New Roman"/>
                <w:b/>
                <w:bCs/>
                <w:lang w:eastAsia="es-CL"/>
              </w:rPr>
            </w:pPr>
            <w:r w:rsidRPr="005168DC">
              <w:rPr>
                <w:rFonts w:ascii="Calibri" w:eastAsia="Times New Roman" w:hAnsi="Calibri" w:cs="Times New Roman"/>
                <w:b/>
                <w:bCs/>
                <w:lang w:eastAsia="es-CL"/>
              </w:rPr>
              <w:t xml:space="preserve">FRANCISCO ENCINA </w:t>
            </w:r>
          </w:p>
        </w:tc>
        <w:tc>
          <w:tcPr>
            <w:tcW w:w="1272" w:type="dxa"/>
            <w:tcBorders>
              <w:top w:val="nil"/>
              <w:left w:val="nil"/>
              <w:bottom w:val="single" w:sz="8" w:space="0" w:color="FFFFFF"/>
              <w:right w:val="nil"/>
            </w:tcBorders>
            <w:shd w:val="clear" w:color="000000" w:fill="DBE5F1"/>
            <w:noWrap/>
            <w:hideMark/>
          </w:tcPr>
          <w:p w:rsidR="005F3DF4" w:rsidRPr="005168DC" w:rsidRDefault="005F3DF4" w:rsidP="001E1BCA">
            <w:pPr>
              <w:spacing w:after="0" w:line="240" w:lineRule="auto"/>
              <w:jc w:val="center"/>
              <w:rPr>
                <w:rFonts w:ascii="Calibri" w:eastAsia="Times New Roman" w:hAnsi="Calibri" w:cs="Times New Roman"/>
                <w:b/>
                <w:bCs/>
                <w:lang w:eastAsia="es-CL"/>
              </w:rPr>
            </w:pPr>
            <w:r w:rsidRPr="005168DC">
              <w:rPr>
                <w:rFonts w:ascii="Calibri" w:eastAsia="Times New Roman" w:hAnsi="Calibri" w:cs="Times New Roman"/>
                <w:b/>
                <w:bCs/>
                <w:lang w:eastAsia="es-CL"/>
              </w:rPr>
              <w:t>219</w:t>
            </w:r>
          </w:p>
        </w:tc>
      </w:tr>
      <w:tr w:rsidR="005F3DF4" w:rsidRPr="005168DC" w:rsidTr="001E1BCA">
        <w:trPr>
          <w:trHeight w:val="315"/>
        </w:trPr>
        <w:tc>
          <w:tcPr>
            <w:tcW w:w="2649" w:type="dxa"/>
            <w:tcBorders>
              <w:top w:val="nil"/>
              <w:left w:val="nil"/>
              <w:bottom w:val="single" w:sz="8" w:space="0" w:color="FFFFFF"/>
              <w:right w:val="nil"/>
            </w:tcBorders>
            <w:shd w:val="clear" w:color="000000" w:fill="365F91"/>
            <w:noWrap/>
            <w:hideMark/>
          </w:tcPr>
          <w:p w:rsidR="005F3DF4" w:rsidRPr="005168DC" w:rsidRDefault="005F3DF4" w:rsidP="001E1BCA">
            <w:pPr>
              <w:spacing w:after="0" w:line="240" w:lineRule="auto"/>
              <w:rPr>
                <w:rFonts w:ascii="Calibri" w:eastAsia="Times New Roman" w:hAnsi="Calibri" w:cs="Times New Roman"/>
                <w:b/>
                <w:bCs/>
                <w:lang w:eastAsia="es-CL"/>
              </w:rPr>
            </w:pPr>
            <w:r w:rsidRPr="005168DC">
              <w:rPr>
                <w:rFonts w:ascii="Calibri" w:eastAsia="Times New Roman" w:hAnsi="Calibri" w:cs="Times New Roman"/>
                <w:b/>
                <w:bCs/>
                <w:lang w:eastAsia="es-CL"/>
              </w:rPr>
              <w:lastRenderedPageBreak/>
              <w:t xml:space="preserve">MIGUEL HERNANDEZ </w:t>
            </w:r>
          </w:p>
        </w:tc>
        <w:tc>
          <w:tcPr>
            <w:tcW w:w="1272" w:type="dxa"/>
            <w:tcBorders>
              <w:top w:val="nil"/>
              <w:left w:val="nil"/>
              <w:bottom w:val="single" w:sz="8" w:space="0" w:color="FFFFFF"/>
              <w:right w:val="nil"/>
            </w:tcBorders>
            <w:shd w:val="clear" w:color="000000" w:fill="A7BFDE"/>
            <w:noWrap/>
            <w:hideMark/>
          </w:tcPr>
          <w:p w:rsidR="005F3DF4" w:rsidRPr="005168DC" w:rsidRDefault="005F3DF4" w:rsidP="001E1BCA">
            <w:pPr>
              <w:spacing w:after="0" w:line="240" w:lineRule="auto"/>
              <w:jc w:val="center"/>
              <w:rPr>
                <w:rFonts w:ascii="Calibri" w:eastAsia="Times New Roman" w:hAnsi="Calibri" w:cs="Times New Roman"/>
                <w:b/>
                <w:bCs/>
                <w:lang w:eastAsia="es-CL"/>
              </w:rPr>
            </w:pPr>
            <w:r w:rsidRPr="005168DC">
              <w:rPr>
                <w:rFonts w:ascii="Calibri" w:eastAsia="Times New Roman" w:hAnsi="Calibri" w:cs="Times New Roman"/>
                <w:b/>
                <w:bCs/>
                <w:lang w:eastAsia="es-CL"/>
              </w:rPr>
              <w:t>211</w:t>
            </w:r>
          </w:p>
        </w:tc>
      </w:tr>
      <w:tr w:rsidR="005F3DF4" w:rsidRPr="005168DC" w:rsidTr="001E1BCA">
        <w:trPr>
          <w:trHeight w:val="315"/>
        </w:trPr>
        <w:tc>
          <w:tcPr>
            <w:tcW w:w="2649" w:type="dxa"/>
            <w:tcBorders>
              <w:top w:val="nil"/>
              <w:left w:val="nil"/>
              <w:bottom w:val="single" w:sz="8" w:space="0" w:color="FFFFFF"/>
              <w:right w:val="nil"/>
            </w:tcBorders>
            <w:shd w:val="clear" w:color="000000" w:fill="365F91"/>
            <w:noWrap/>
            <w:hideMark/>
          </w:tcPr>
          <w:p w:rsidR="005F3DF4" w:rsidRPr="005168DC" w:rsidRDefault="005F3DF4" w:rsidP="001E1BCA">
            <w:pPr>
              <w:spacing w:after="0" w:line="240" w:lineRule="auto"/>
              <w:rPr>
                <w:rFonts w:ascii="Calibri" w:eastAsia="Times New Roman" w:hAnsi="Calibri" w:cs="Times New Roman"/>
                <w:b/>
                <w:bCs/>
                <w:lang w:eastAsia="es-CL"/>
              </w:rPr>
            </w:pPr>
            <w:r w:rsidRPr="005168DC">
              <w:rPr>
                <w:rFonts w:ascii="Calibri" w:eastAsia="Times New Roman" w:hAnsi="Calibri" w:cs="Times New Roman"/>
                <w:b/>
                <w:bCs/>
                <w:lang w:eastAsia="es-CL"/>
              </w:rPr>
              <w:t xml:space="preserve">CARLOS MONTES </w:t>
            </w:r>
          </w:p>
        </w:tc>
        <w:tc>
          <w:tcPr>
            <w:tcW w:w="1272" w:type="dxa"/>
            <w:tcBorders>
              <w:top w:val="nil"/>
              <w:left w:val="nil"/>
              <w:bottom w:val="single" w:sz="8" w:space="0" w:color="FFFFFF"/>
              <w:right w:val="nil"/>
            </w:tcBorders>
            <w:shd w:val="clear" w:color="000000" w:fill="DBE5F1"/>
            <w:noWrap/>
            <w:hideMark/>
          </w:tcPr>
          <w:p w:rsidR="005F3DF4" w:rsidRPr="005168DC" w:rsidRDefault="005F3DF4" w:rsidP="001E1BCA">
            <w:pPr>
              <w:spacing w:after="0" w:line="240" w:lineRule="auto"/>
              <w:jc w:val="center"/>
              <w:rPr>
                <w:rFonts w:ascii="Calibri" w:eastAsia="Times New Roman" w:hAnsi="Calibri" w:cs="Times New Roman"/>
                <w:b/>
                <w:bCs/>
                <w:lang w:eastAsia="es-CL"/>
              </w:rPr>
            </w:pPr>
            <w:r w:rsidRPr="005168DC">
              <w:rPr>
                <w:rFonts w:ascii="Calibri" w:eastAsia="Times New Roman" w:hAnsi="Calibri" w:cs="Times New Roman"/>
                <w:b/>
                <w:bCs/>
                <w:lang w:eastAsia="es-CL"/>
              </w:rPr>
              <w:t>121</w:t>
            </w:r>
          </w:p>
        </w:tc>
      </w:tr>
      <w:tr w:rsidR="005F3DF4" w:rsidRPr="005168DC" w:rsidTr="001E1BCA">
        <w:trPr>
          <w:trHeight w:val="315"/>
        </w:trPr>
        <w:tc>
          <w:tcPr>
            <w:tcW w:w="2649" w:type="dxa"/>
            <w:tcBorders>
              <w:top w:val="nil"/>
              <w:left w:val="nil"/>
              <w:bottom w:val="single" w:sz="8" w:space="0" w:color="FFFFFF"/>
              <w:right w:val="nil"/>
            </w:tcBorders>
            <w:shd w:val="clear" w:color="000000" w:fill="365F91"/>
            <w:noWrap/>
            <w:hideMark/>
          </w:tcPr>
          <w:p w:rsidR="005F3DF4" w:rsidRPr="005168DC" w:rsidRDefault="005F3DF4" w:rsidP="001E1BCA">
            <w:pPr>
              <w:spacing w:after="0" w:line="240" w:lineRule="auto"/>
              <w:rPr>
                <w:rFonts w:ascii="Calibri" w:eastAsia="Times New Roman" w:hAnsi="Calibri" w:cs="Times New Roman"/>
                <w:b/>
                <w:bCs/>
                <w:lang w:eastAsia="es-CL"/>
              </w:rPr>
            </w:pPr>
            <w:r w:rsidRPr="005168DC">
              <w:rPr>
                <w:rFonts w:ascii="Calibri" w:eastAsia="Times New Roman" w:hAnsi="Calibri" w:cs="Times New Roman"/>
                <w:b/>
                <w:bCs/>
                <w:lang w:eastAsia="es-CL"/>
              </w:rPr>
              <w:t xml:space="preserve">HOSAIN SABAG </w:t>
            </w:r>
          </w:p>
        </w:tc>
        <w:tc>
          <w:tcPr>
            <w:tcW w:w="1272" w:type="dxa"/>
            <w:tcBorders>
              <w:top w:val="nil"/>
              <w:left w:val="nil"/>
              <w:bottom w:val="single" w:sz="8" w:space="0" w:color="FFFFFF"/>
              <w:right w:val="nil"/>
            </w:tcBorders>
            <w:shd w:val="clear" w:color="000000" w:fill="A7BFDE"/>
            <w:noWrap/>
            <w:hideMark/>
          </w:tcPr>
          <w:p w:rsidR="005F3DF4" w:rsidRPr="005168DC" w:rsidRDefault="005F3DF4" w:rsidP="001E1BCA">
            <w:pPr>
              <w:spacing w:after="0" w:line="240" w:lineRule="auto"/>
              <w:jc w:val="center"/>
              <w:rPr>
                <w:rFonts w:ascii="Calibri" w:eastAsia="Times New Roman" w:hAnsi="Calibri" w:cs="Times New Roman"/>
                <w:b/>
                <w:bCs/>
                <w:lang w:eastAsia="es-CL"/>
              </w:rPr>
            </w:pPr>
            <w:r w:rsidRPr="005168DC">
              <w:rPr>
                <w:rFonts w:ascii="Calibri" w:eastAsia="Times New Roman" w:hAnsi="Calibri" w:cs="Times New Roman"/>
                <w:b/>
                <w:bCs/>
                <w:lang w:eastAsia="es-CL"/>
              </w:rPr>
              <w:t>118</w:t>
            </w:r>
          </w:p>
        </w:tc>
      </w:tr>
      <w:tr w:rsidR="005F3DF4" w:rsidRPr="005168DC" w:rsidTr="001E1BCA">
        <w:trPr>
          <w:trHeight w:val="315"/>
        </w:trPr>
        <w:tc>
          <w:tcPr>
            <w:tcW w:w="2649" w:type="dxa"/>
            <w:tcBorders>
              <w:top w:val="nil"/>
              <w:left w:val="nil"/>
              <w:bottom w:val="single" w:sz="8" w:space="0" w:color="FFFFFF"/>
              <w:right w:val="nil"/>
            </w:tcBorders>
            <w:shd w:val="clear" w:color="000000" w:fill="365F91"/>
            <w:noWrap/>
            <w:hideMark/>
          </w:tcPr>
          <w:p w:rsidR="005F3DF4" w:rsidRPr="005168DC" w:rsidRDefault="005F3DF4" w:rsidP="001E1BCA">
            <w:pPr>
              <w:spacing w:after="0" w:line="240" w:lineRule="auto"/>
              <w:rPr>
                <w:rFonts w:ascii="Calibri" w:eastAsia="Times New Roman" w:hAnsi="Calibri" w:cs="Times New Roman"/>
                <w:b/>
                <w:bCs/>
                <w:lang w:eastAsia="es-CL"/>
              </w:rPr>
            </w:pPr>
            <w:r w:rsidRPr="005168DC">
              <w:rPr>
                <w:rFonts w:ascii="Calibri" w:eastAsia="Times New Roman" w:hAnsi="Calibri" w:cs="Times New Roman"/>
                <w:b/>
                <w:bCs/>
                <w:lang w:eastAsia="es-CL"/>
              </w:rPr>
              <w:t xml:space="preserve">EXEQUIEL SILVA </w:t>
            </w:r>
          </w:p>
        </w:tc>
        <w:tc>
          <w:tcPr>
            <w:tcW w:w="1272" w:type="dxa"/>
            <w:tcBorders>
              <w:top w:val="nil"/>
              <w:left w:val="nil"/>
              <w:bottom w:val="single" w:sz="8" w:space="0" w:color="FFFFFF"/>
              <w:right w:val="nil"/>
            </w:tcBorders>
            <w:shd w:val="clear" w:color="000000" w:fill="DBE5F1"/>
            <w:noWrap/>
            <w:hideMark/>
          </w:tcPr>
          <w:p w:rsidR="005F3DF4" w:rsidRPr="005168DC" w:rsidRDefault="005F3DF4" w:rsidP="001E1BCA">
            <w:pPr>
              <w:spacing w:after="0" w:line="240" w:lineRule="auto"/>
              <w:jc w:val="center"/>
              <w:rPr>
                <w:rFonts w:ascii="Calibri" w:eastAsia="Times New Roman" w:hAnsi="Calibri" w:cs="Times New Roman"/>
                <w:b/>
                <w:bCs/>
                <w:lang w:eastAsia="es-CL"/>
              </w:rPr>
            </w:pPr>
            <w:r w:rsidRPr="005168DC">
              <w:rPr>
                <w:rFonts w:ascii="Calibri" w:eastAsia="Times New Roman" w:hAnsi="Calibri" w:cs="Times New Roman"/>
                <w:b/>
                <w:bCs/>
                <w:lang w:eastAsia="es-CL"/>
              </w:rPr>
              <w:t>114</w:t>
            </w:r>
          </w:p>
        </w:tc>
      </w:tr>
      <w:tr w:rsidR="005F3DF4" w:rsidRPr="005168DC" w:rsidTr="001E1BCA">
        <w:trPr>
          <w:trHeight w:val="315"/>
        </w:trPr>
        <w:tc>
          <w:tcPr>
            <w:tcW w:w="2649" w:type="dxa"/>
            <w:tcBorders>
              <w:top w:val="nil"/>
              <w:left w:val="nil"/>
              <w:bottom w:val="single" w:sz="8" w:space="0" w:color="FFFFFF"/>
              <w:right w:val="nil"/>
            </w:tcBorders>
            <w:shd w:val="clear" w:color="000000" w:fill="365F91"/>
            <w:noWrap/>
            <w:hideMark/>
          </w:tcPr>
          <w:p w:rsidR="005F3DF4" w:rsidRPr="005168DC" w:rsidRDefault="005F3DF4" w:rsidP="001E1BCA">
            <w:pPr>
              <w:spacing w:after="0" w:line="240" w:lineRule="auto"/>
              <w:rPr>
                <w:rFonts w:ascii="Calibri" w:eastAsia="Times New Roman" w:hAnsi="Calibri" w:cs="Times New Roman"/>
                <w:b/>
                <w:bCs/>
                <w:lang w:eastAsia="es-CL"/>
              </w:rPr>
            </w:pPr>
            <w:r w:rsidRPr="005168DC">
              <w:rPr>
                <w:rFonts w:ascii="Calibri" w:eastAsia="Times New Roman" w:hAnsi="Calibri" w:cs="Times New Roman"/>
                <w:b/>
                <w:bCs/>
                <w:lang w:eastAsia="es-CL"/>
              </w:rPr>
              <w:t xml:space="preserve">JUAN PABLO LETELIER </w:t>
            </w:r>
          </w:p>
        </w:tc>
        <w:tc>
          <w:tcPr>
            <w:tcW w:w="1272" w:type="dxa"/>
            <w:tcBorders>
              <w:top w:val="nil"/>
              <w:left w:val="nil"/>
              <w:bottom w:val="single" w:sz="8" w:space="0" w:color="FFFFFF"/>
              <w:right w:val="nil"/>
            </w:tcBorders>
            <w:shd w:val="clear" w:color="000000" w:fill="A7BFDE"/>
            <w:noWrap/>
            <w:hideMark/>
          </w:tcPr>
          <w:p w:rsidR="005F3DF4" w:rsidRPr="005168DC" w:rsidRDefault="005F3DF4" w:rsidP="001E1BCA">
            <w:pPr>
              <w:spacing w:after="0" w:line="240" w:lineRule="auto"/>
              <w:jc w:val="center"/>
              <w:rPr>
                <w:rFonts w:ascii="Calibri" w:eastAsia="Times New Roman" w:hAnsi="Calibri" w:cs="Times New Roman"/>
                <w:b/>
                <w:bCs/>
                <w:lang w:eastAsia="es-CL"/>
              </w:rPr>
            </w:pPr>
            <w:r w:rsidRPr="005168DC">
              <w:rPr>
                <w:rFonts w:ascii="Calibri" w:eastAsia="Times New Roman" w:hAnsi="Calibri" w:cs="Times New Roman"/>
                <w:b/>
                <w:bCs/>
                <w:lang w:eastAsia="es-CL"/>
              </w:rPr>
              <w:t>101</w:t>
            </w:r>
          </w:p>
        </w:tc>
      </w:tr>
    </w:tbl>
    <w:p w:rsidR="005F3DF4" w:rsidRPr="005168DC" w:rsidRDefault="005F3DF4" w:rsidP="005F3DF4">
      <w:pPr>
        <w:pStyle w:val="Prrafodelista"/>
        <w:jc w:val="both"/>
        <w:rPr>
          <w:rFonts w:cstheme="minorHAnsi"/>
          <w:u w:val="single"/>
        </w:rPr>
      </w:pPr>
    </w:p>
    <w:p w:rsidR="005F3DF4" w:rsidRPr="005168DC" w:rsidRDefault="005F3DF4" w:rsidP="005F3DF4">
      <w:pPr>
        <w:pStyle w:val="Prrafodelista"/>
        <w:numPr>
          <w:ilvl w:val="0"/>
          <w:numId w:val="6"/>
        </w:numPr>
        <w:jc w:val="both"/>
        <w:rPr>
          <w:rFonts w:cstheme="minorHAnsi"/>
          <w:u w:val="single"/>
        </w:rPr>
      </w:pPr>
      <w:r w:rsidRPr="005168DC">
        <w:rPr>
          <w:rFonts w:cstheme="minorHAnsi"/>
          <w:b/>
          <w:u w:val="single"/>
        </w:rPr>
        <w:t>Resultados en relación con las causales de los casos irregulares</w:t>
      </w:r>
    </w:p>
    <w:tbl>
      <w:tblPr>
        <w:tblStyle w:val="Cuadrculavistosa-nfasis1"/>
        <w:tblW w:w="9039" w:type="dxa"/>
        <w:tblLayout w:type="fixed"/>
        <w:tblLook w:val="04A0" w:firstRow="1" w:lastRow="0" w:firstColumn="1" w:lastColumn="0" w:noHBand="0" w:noVBand="1"/>
      </w:tblPr>
      <w:tblGrid>
        <w:gridCol w:w="6771"/>
        <w:gridCol w:w="2268"/>
      </w:tblGrid>
      <w:tr w:rsidR="005F3DF4" w:rsidRPr="005168DC" w:rsidTr="001E1BCA">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6771" w:type="dxa"/>
            <w:noWrap/>
          </w:tcPr>
          <w:p w:rsidR="005F3DF4" w:rsidRPr="005168DC" w:rsidRDefault="005F3DF4" w:rsidP="001E1BCA">
            <w:pPr>
              <w:jc w:val="both"/>
              <w:rPr>
                <w:rFonts w:ascii="Calibri" w:eastAsia="Times New Roman" w:hAnsi="Calibri" w:cs="Calibri"/>
                <w:b w:val="0"/>
                <w:bCs w:val="0"/>
                <w:color w:val="auto"/>
                <w:lang w:eastAsia="es-CL"/>
              </w:rPr>
            </w:pPr>
            <w:r w:rsidRPr="005168DC">
              <w:rPr>
                <w:rFonts w:ascii="Calibri" w:eastAsia="Times New Roman" w:hAnsi="Calibri" w:cs="Calibri"/>
                <w:color w:val="auto"/>
                <w:lang w:eastAsia="es-CL"/>
              </w:rPr>
              <w:t xml:space="preserve">Tipo de Irregularidad </w:t>
            </w:r>
          </w:p>
        </w:tc>
        <w:tc>
          <w:tcPr>
            <w:tcW w:w="2268" w:type="dxa"/>
          </w:tcPr>
          <w:p w:rsidR="005F3DF4" w:rsidRPr="005168DC" w:rsidRDefault="005F3DF4" w:rsidP="001E1BCA">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auto"/>
                <w:lang w:eastAsia="es-CL"/>
              </w:rPr>
            </w:pPr>
            <w:r w:rsidRPr="005168DC">
              <w:rPr>
                <w:rFonts w:ascii="Calibri" w:eastAsia="Times New Roman" w:hAnsi="Calibri" w:cs="Calibri"/>
                <w:color w:val="auto"/>
                <w:lang w:eastAsia="es-CL"/>
              </w:rPr>
              <w:t xml:space="preserve">Cantidad de Casos </w:t>
            </w:r>
          </w:p>
        </w:tc>
      </w:tr>
      <w:tr w:rsidR="005F3DF4" w:rsidRPr="005168DC" w:rsidTr="001E1BCA">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771" w:type="dxa"/>
            <w:noWrap/>
          </w:tcPr>
          <w:p w:rsidR="005F3DF4" w:rsidRPr="005168DC" w:rsidRDefault="005F3DF4" w:rsidP="001E1BCA">
            <w:pPr>
              <w:jc w:val="both"/>
              <w:rPr>
                <w:rFonts w:ascii="Calibri" w:eastAsia="Times New Roman" w:hAnsi="Calibri" w:cs="Calibri"/>
                <w:color w:val="auto"/>
                <w:szCs w:val="20"/>
                <w:lang w:eastAsia="es-CL"/>
              </w:rPr>
            </w:pPr>
            <w:r w:rsidRPr="005168DC">
              <w:rPr>
                <w:rFonts w:ascii="Calibri" w:eastAsia="Times New Roman" w:hAnsi="Calibri" w:cs="Calibri"/>
                <w:color w:val="auto"/>
                <w:szCs w:val="20"/>
                <w:lang w:eastAsia="es-CL"/>
              </w:rPr>
              <w:t>Empresa No Calificada</w:t>
            </w:r>
          </w:p>
        </w:tc>
        <w:tc>
          <w:tcPr>
            <w:tcW w:w="2268"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Cs w:val="20"/>
                <w:lang w:eastAsia="es-CL"/>
              </w:rPr>
            </w:pPr>
            <w:r w:rsidRPr="005168DC">
              <w:rPr>
                <w:rFonts w:ascii="Calibri" w:eastAsia="Times New Roman" w:hAnsi="Calibri" w:cs="Calibri"/>
                <w:color w:val="auto"/>
                <w:szCs w:val="20"/>
                <w:lang w:eastAsia="es-CL"/>
              </w:rPr>
              <w:t>518</w:t>
            </w:r>
          </w:p>
        </w:tc>
      </w:tr>
      <w:tr w:rsidR="005F3DF4" w:rsidRPr="005168DC" w:rsidTr="001E1BCA">
        <w:trPr>
          <w:trHeight w:val="244"/>
        </w:trPr>
        <w:tc>
          <w:tcPr>
            <w:cnfStyle w:val="001000000000" w:firstRow="0" w:lastRow="0" w:firstColumn="1" w:lastColumn="0" w:oddVBand="0" w:evenVBand="0" w:oddHBand="0" w:evenHBand="0" w:firstRowFirstColumn="0" w:firstRowLastColumn="0" w:lastRowFirstColumn="0" w:lastRowLastColumn="0"/>
            <w:tcW w:w="6771" w:type="dxa"/>
            <w:noWrap/>
          </w:tcPr>
          <w:p w:rsidR="005F3DF4" w:rsidRPr="005168DC" w:rsidRDefault="005F3DF4" w:rsidP="001E1BCA">
            <w:pPr>
              <w:jc w:val="both"/>
              <w:rPr>
                <w:rFonts w:ascii="Calibri" w:eastAsia="Times New Roman" w:hAnsi="Calibri" w:cs="Calibri"/>
                <w:color w:val="auto"/>
                <w:szCs w:val="20"/>
                <w:lang w:eastAsia="es-CL"/>
              </w:rPr>
            </w:pPr>
            <w:r w:rsidRPr="005168DC">
              <w:rPr>
                <w:rFonts w:ascii="Calibri" w:eastAsia="Times New Roman" w:hAnsi="Calibri" w:cs="Calibri"/>
                <w:color w:val="auto"/>
                <w:szCs w:val="20"/>
                <w:lang w:eastAsia="es-CL"/>
              </w:rPr>
              <w:t>Exonerado Fuera del Período de Calificación</w:t>
            </w:r>
          </w:p>
        </w:tc>
        <w:tc>
          <w:tcPr>
            <w:tcW w:w="2268"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Cs w:val="20"/>
                <w:lang w:eastAsia="es-CL"/>
              </w:rPr>
            </w:pPr>
            <w:r w:rsidRPr="005168DC">
              <w:rPr>
                <w:rFonts w:ascii="Calibri" w:eastAsia="Times New Roman" w:hAnsi="Calibri" w:cs="Calibri"/>
                <w:color w:val="auto"/>
                <w:szCs w:val="20"/>
                <w:lang w:eastAsia="es-CL"/>
              </w:rPr>
              <w:t>723</w:t>
            </w:r>
          </w:p>
        </w:tc>
      </w:tr>
      <w:tr w:rsidR="005F3DF4" w:rsidRPr="005168DC" w:rsidTr="001E1BCA">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6771" w:type="dxa"/>
            <w:noWrap/>
          </w:tcPr>
          <w:p w:rsidR="005F3DF4" w:rsidRPr="005168DC" w:rsidRDefault="005F3DF4" w:rsidP="001E1BCA">
            <w:pPr>
              <w:jc w:val="both"/>
              <w:rPr>
                <w:rFonts w:ascii="Calibri" w:eastAsia="Times New Roman" w:hAnsi="Calibri" w:cs="Calibri"/>
                <w:color w:val="auto"/>
                <w:szCs w:val="20"/>
                <w:lang w:eastAsia="es-CL"/>
              </w:rPr>
            </w:pPr>
            <w:r w:rsidRPr="005168DC">
              <w:rPr>
                <w:rFonts w:ascii="Calibri" w:eastAsia="Times New Roman" w:hAnsi="Calibri" w:cs="Calibri"/>
                <w:color w:val="auto"/>
                <w:szCs w:val="20"/>
                <w:lang w:eastAsia="es-CL"/>
              </w:rPr>
              <w:t xml:space="preserve">Menor de Edad a la fecha de Exoneración (Sin </w:t>
            </w:r>
            <w:proofErr w:type="spellStart"/>
            <w:r w:rsidRPr="005168DC">
              <w:rPr>
                <w:rFonts w:ascii="Calibri" w:eastAsia="Times New Roman" w:hAnsi="Calibri" w:cs="Calibri"/>
                <w:color w:val="auto"/>
                <w:szCs w:val="20"/>
                <w:lang w:eastAsia="es-CL"/>
              </w:rPr>
              <w:t>antec</w:t>
            </w:r>
            <w:proofErr w:type="spellEnd"/>
            <w:r w:rsidRPr="005168DC">
              <w:rPr>
                <w:rFonts w:ascii="Calibri" w:eastAsia="Times New Roman" w:hAnsi="Calibri" w:cs="Calibri"/>
                <w:color w:val="auto"/>
                <w:szCs w:val="20"/>
                <w:lang w:eastAsia="es-CL"/>
              </w:rPr>
              <w:t>. Laborales)</w:t>
            </w:r>
          </w:p>
        </w:tc>
        <w:tc>
          <w:tcPr>
            <w:tcW w:w="2268"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Cs w:val="20"/>
                <w:lang w:eastAsia="es-CL"/>
              </w:rPr>
            </w:pPr>
            <w:r w:rsidRPr="005168DC">
              <w:rPr>
                <w:rFonts w:ascii="Calibri" w:eastAsia="Times New Roman" w:hAnsi="Calibri" w:cs="Calibri"/>
                <w:color w:val="auto"/>
                <w:szCs w:val="20"/>
                <w:lang w:eastAsia="es-CL"/>
              </w:rPr>
              <w:t>81</w:t>
            </w:r>
          </w:p>
        </w:tc>
      </w:tr>
      <w:tr w:rsidR="005F3DF4" w:rsidRPr="005168DC" w:rsidTr="001E1BCA">
        <w:trPr>
          <w:trHeight w:val="252"/>
        </w:trPr>
        <w:tc>
          <w:tcPr>
            <w:cnfStyle w:val="001000000000" w:firstRow="0" w:lastRow="0" w:firstColumn="1" w:lastColumn="0" w:oddVBand="0" w:evenVBand="0" w:oddHBand="0" w:evenHBand="0" w:firstRowFirstColumn="0" w:firstRowLastColumn="0" w:lastRowFirstColumn="0" w:lastRowLastColumn="0"/>
            <w:tcW w:w="6771" w:type="dxa"/>
            <w:noWrap/>
          </w:tcPr>
          <w:p w:rsidR="005F3DF4" w:rsidRPr="005168DC" w:rsidRDefault="005F3DF4" w:rsidP="001E1BCA">
            <w:pPr>
              <w:jc w:val="both"/>
              <w:rPr>
                <w:rFonts w:ascii="Calibri" w:eastAsia="Times New Roman" w:hAnsi="Calibri" w:cs="Calibri"/>
                <w:color w:val="auto"/>
                <w:szCs w:val="20"/>
                <w:lang w:eastAsia="es-CL"/>
              </w:rPr>
            </w:pPr>
            <w:r w:rsidRPr="005168DC">
              <w:rPr>
                <w:rFonts w:ascii="Calibri" w:eastAsia="Times New Roman" w:hAnsi="Calibri" w:cs="Calibri"/>
                <w:color w:val="auto"/>
                <w:szCs w:val="20"/>
                <w:lang w:eastAsia="es-CL"/>
              </w:rPr>
              <w:t>Funcionario Público Sólo Declaraciones Testimoniales. (CGR)</w:t>
            </w:r>
          </w:p>
        </w:tc>
        <w:tc>
          <w:tcPr>
            <w:tcW w:w="2268"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Cs w:val="20"/>
                <w:lang w:eastAsia="es-CL"/>
              </w:rPr>
            </w:pPr>
            <w:r w:rsidRPr="005168DC">
              <w:rPr>
                <w:rFonts w:ascii="Calibri" w:eastAsia="Times New Roman" w:hAnsi="Calibri" w:cs="Calibri"/>
                <w:color w:val="auto"/>
                <w:szCs w:val="20"/>
                <w:lang w:eastAsia="es-CL"/>
              </w:rPr>
              <w:t>2.900</w:t>
            </w:r>
          </w:p>
        </w:tc>
      </w:tr>
      <w:tr w:rsidR="005F3DF4" w:rsidRPr="005168DC" w:rsidTr="001E1BC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6771" w:type="dxa"/>
            <w:noWrap/>
          </w:tcPr>
          <w:p w:rsidR="005F3DF4" w:rsidRPr="005168DC" w:rsidRDefault="005F3DF4" w:rsidP="001E1BCA">
            <w:pPr>
              <w:jc w:val="both"/>
              <w:rPr>
                <w:rFonts w:ascii="Calibri" w:eastAsia="Times New Roman" w:hAnsi="Calibri" w:cs="Calibri"/>
                <w:color w:val="auto"/>
                <w:szCs w:val="20"/>
                <w:lang w:eastAsia="es-CL"/>
              </w:rPr>
            </w:pPr>
            <w:r w:rsidRPr="005168DC">
              <w:rPr>
                <w:rFonts w:ascii="Calibri" w:eastAsia="Times New Roman" w:hAnsi="Calibri" w:cs="Calibri"/>
                <w:color w:val="auto"/>
                <w:szCs w:val="20"/>
                <w:lang w:eastAsia="es-CL"/>
              </w:rPr>
              <w:t>Funcionario Privado sin Antecedentes de Vinculación Laboral</w:t>
            </w:r>
          </w:p>
        </w:tc>
        <w:tc>
          <w:tcPr>
            <w:tcW w:w="2268"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Cs w:val="20"/>
                <w:lang w:eastAsia="es-CL"/>
              </w:rPr>
            </w:pPr>
            <w:r w:rsidRPr="005168DC">
              <w:rPr>
                <w:rFonts w:ascii="Calibri" w:eastAsia="Times New Roman" w:hAnsi="Calibri" w:cs="Calibri"/>
                <w:color w:val="auto"/>
                <w:szCs w:val="20"/>
                <w:lang w:eastAsia="es-CL"/>
              </w:rPr>
              <w:t>4.917</w:t>
            </w:r>
          </w:p>
        </w:tc>
      </w:tr>
      <w:tr w:rsidR="005F3DF4" w:rsidRPr="005168DC" w:rsidTr="001E1BCA">
        <w:trPr>
          <w:trHeight w:val="260"/>
        </w:trPr>
        <w:tc>
          <w:tcPr>
            <w:cnfStyle w:val="001000000000" w:firstRow="0" w:lastRow="0" w:firstColumn="1" w:lastColumn="0" w:oddVBand="0" w:evenVBand="0" w:oddHBand="0" w:evenHBand="0" w:firstRowFirstColumn="0" w:firstRowLastColumn="0" w:lastRowFirstColumn="0" w:lastRowLastColumn="0"/>
            <w:tcW w:w="6771" w:type="dxa"/>
            <w:noWrap/>
          </w:tcPr>
          <w:p w:rsidR="005F3DF4" w:rsidRPr="005168DC" w:rsidRDefault="005F3DF4" w:rsidP="001E1BCA">
            <w:pPr>
              <w:jc w:val="both"/>
              <w:rPr>
                <w:rFonts w:ascii="Calibri" w:eastAsia="Times New Roman" w:hAnsi="Calibri" w:cs="Calibri"/>
                <w:color w:val="auto"/>
                <w:szCs w:val="20"/>
                <w:lang w:eastAsia="es-CL"/>
              </w:rPr>
            </w:pPr>
            <w:r w:rsidRPr="005168DC">
              <w:rPr>
                <w:rFonts w:ascii="Calibri" w:eastAsia="Times New Roman" w:hAnsi="Calibri" w:cs="Calibri"/>
                <w:color w:val="auto"/>
                <w:szCs w:val="20"/>
                <w:lang w:eastAsia="es-CL"/>
              </w:rPr>
              <w:t>Dictamen Individual CGR</w:t>
            </w:r>
          </w:p>
        </w:tc>
        <w:tc>
          <w:tcPr>
            <w:tcW w:w="2268"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Cs w:val="20"/>
                <w:lang w:eastAsia="es-CL"/>
              </w:rPr>
            </w:pPr>
            <w:r w:rsidRPr="005168DC">
              <w:rPr>
                <w:rFonts w:ascii="Calibri" w:eastAsia="Times New Roman" w:hAnsi="Calibri" w:cs="Calibri"/>
                <w:color w:val="auto"/>
                <w:szCs w:val="20"/>
                <w:lang w:eastAsia="es-CL"/>
              </w:rPr>
              <w:t>5</w:t>
            </w:r>
          </w:p>
        </w:tc>
      </w:tr>
      <w:tr w:rsidR="005F3DF4" w:rsidRPr="005168DC" w:rsidTr="001E1BC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771" w:type="dxa"/>
            <w:noWrap/>
          </w:tcPr>
          <w:p w:rsidR="005F3DF4" w:rsidRPr="005168DC" w:rsidRDefault="005F3DF4" w:rsidP="001E1BCA">
            <w:pPr>
              <w:jc w:val="both"/>
              <w:rPr>
                <w:rFonts w:ascii="Calibri" w:eastAsia="Times New Roman" w:hAnsi="Calibri" w:cs="Calibri"/>
                <w:color w:val="auto"/>
                <w:szCs w:val="20"/>
                <w:lang w:eastAsia="es-CL"/>
              </w:rPr>
            </w:pPr>
            <w:r w:rsidRPr="005168DC">
              <w:rPr>
                <w:rFonts w:ascii="Calibri" w:eastAsia="Times New Roman" w:hAnsi="Calibri" w:cs="Calibri"/>
                <w:color w:val="auto"/>
                <w:szCs w:val="20"/>
                <w:lang w:eastAsia="es-CL"/>
              </w:rPr>
              <w:t>Antecedentes presuntamente adulterados</w:t>
            </w:r>
          </w:p>
        </w:tc>
        <w:tc>
          <w:tcPr>
            <w:tcW w:w="2268"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Cs w:val="20"/>
                <w:lang w:eastAsia="es-CL"/>
              </w:rPr>
            </w:pPr>
            <w:r w:rsidRPr="005168DC">
              <w:rPr>
                <w:rFonts w:ascii="Calibri" w:eastAsia="Times New Roman" w:hAnsi="Calibri" w:cs="Calibri"/>
                <w:color w:val="auto"/>
                <w:szCs w:val="20"/>
                <w:lang w:eastAsia="es-CL"/>
              </w:rPr>
              <w:t>37</w:t>
            </w:r>
          </w:p>
        </w:tc>
      </w:tr>
      <w:tr w:rsidR="005F3DF4" w:rsidRPr="005168DC" w:rsidTr="001E1BCA">
        <w:trPr>
          <w:trHeight w:val="282"/>
        </w:trPr>
        <w:tc>
          <w:tcPr>
            <w:cnfStyle w:val="001000000000" w:firstRow="0" w:lastRow="0" w:firstColumn="1" w:lastColumn="0" w:oddVBand="0" w:evenVBand="0" w:oddHBand="0" w:evenHBand="0" w:firstRowFirstColumn="0" w:firstRowLastColumn="0" w:lastRowFirstColumn="0" w:lastRowLastColumn="0"/>
            <w:tcW w:w="6771" w:type="dxa"/>
            <w:noWrap/>
          </w:tcPr>
          <w:p w:rsidR="005F3DF4" w:rsidRPr="005168DC" w:rsidRDefault="005F3DF4" w:rsidP="001E1BCA">
            <w:pPr>
              <w:jc w:val="both"/>
              <w:rPr>
                <w:rFonts w:ascii="Calibri" w:eastAsia="Times New Roman" w:hAnsi="Calibri" w:cs="Calibri"/>
                <w:color w:val="auto"/>
                <w:lang w:eastAsia="es-CL"/>
              </w:rPr>
            </w:pPr>
            <w:r w:rsidRPr="005168DC">
              <w:rPr>
                <w:rFonts w:ascii="Calibri" w:eastAsia="Times New Roman" w:hAnsi="Calibri" w:cs="Calibri"/>
                <w:color w:val="auto"/>
                <w:lang w:eastAsia="es-CL"/>
              </w:rPr>
              <w:t>Otros</w:t>
            </w:r>
          </w:p>
        </w:tc>
        <w:tc>
          <w:tcPr>
            <w:tcW w:w="2268" w:type="dxa"/>
          </w:tcPr>
          <w:p w:rsidR="005F3DF4" w:rsidRPr="005168DC" w:rsidRDefault="005F3DF4" w:rsidP="001E1B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s-CL"/>
              </w:rPr>
            </w:pPr>
            <w:r w:rsidRPr="005168DC">
              <w:rPr>
                <w:rFonts w:ascii="Calibri" w:eastAsia="Times New Roman" w:hAnsi="Calibri" w:cs="Calibri"/>
                <w:color w:val="auto"/>
                <w:sz w:val="20"/>
                <w:szCs w:val="20"/>
                <w:lang w:eastAsia="es-CL"/>
              </w:rPr>
              <w:t>157</w:t>
            </w:r>
          </w:p>
        </w:tc>
      </w:tr>
      <w:tr w:rsidR="005F3DF4" w:rsidRPr="005168DC" w:rsidTr="001E1BC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771" w:type="dxa"/>
            <w:noWrap/>
          </w:tcPr>
          <w:p w:rsidR="005F3DF4" w:rsidRPr="005168DC" w:rsidRDefault="005F3DF4" w:rsidP="001E1BCA">
            <w:pPr>
              <w:jc w:val="both"/>
              <w:rPr>
                <w:rFonts w:ascii="Calibri" w:eastAsia="Times New Roman" w:hAnsi="Calibri" w:cs="Calibri"/>
                <w:b/>
                <w:color w:val="auto"/>
                <w:sz w:val="28"/>
                <w:szCs w:val="28"/>
                <w:lang w:eastAsia="es-CL"/>
              </w:rPr>
            </w:pPr>
            <w:r w:rsidRPr="005168DC">
              <w:rPr>
                <w:rFonts w:ascii="Calibri" w:eastAsia="Times New Roman" w:hAnsi="Calibri" w:cs="Calibri"/>
                <w:b/>
                <w:color w:val="auto"/>
                <w:sz w:val="28"/>
                <w:szCs w:val="28"/>
                <w:lang w:eastAsia="es-CL"/>
              </w:rPr>
              <w:t>TOTAL</w:t>
            </w:r>
          </w:p>
        </w:tc>
        <w:tc>
          <w:tcPr>
            <w:tcW w:w="2268" w:type="dxa"/>
          </w:tcPr>
          <w:p w:rsidR="005F3DF4" w:rsidRPr="005168DC" w:rsidRDefault="005F3DF4" w:rsidP="001E1B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auto"/>
                <w:sz w:val="28"/>
                <w:szCs w:val="28"/>
                <w:lang w:eastAsia="es-CL"/>
              </w:rPr>
            </w:pPr>
            <w:r w:rsidRPr="005168DC">
              <w:rPr>
                <w:rFonts w:ascii="Calibri" w:eastAsia="Times New Roman" w:hAnsi="Calibri" w:cs="Calibri"/>
                <w:b/>
                <w:color w:val="auto"/>
                <w:sz w:val="28"/>
                <w:szCs w:val="28"/>
                <w:lang w:eastAsia="es-CL"/>
              </w:rPr>
              <w:t>9.338</w:t>
            </w:r>
          </w:p>
        </w:tc>
      </w:tr>
    </w:tbl>
    <w:p w:rsidR="005F3DF4" w:rsidRDefault="005F3DF4" w:rsidP="005F3DF4">
      <w:pPr>
        <w:jc w:val="both"/>
        <w:rPr>
          <w:b/>
        </w:rPr>
      </w:pPr>
    </w:p>
    <w:p w:rsidR="005F3DF4" w:rsidRDefault="005F3DF4" w:rsidP="005F3DF4">
      <w:pPr>
        <w:jc w:val="both"/>
        <w:rPr>
          <w:b/>
        </w:rPr>
      </w:pPr>
      <w:r>
        <w:rPr>
          <w:b/>
        </w:rPr>
        <w:t>ACCIONES LEGALES PROPUESTAS</w:t>
      </w:r>
    </w:p>
    <w:p w:rsidR="005F3DF4" w:rsidRDefault="005F3DF4" w:rsidP="005F3DF4">
      <w:pPr>
        <w:pStyle w:val="Prrafodelista"/>
        <w:numPr>
          <w:ilvl w:val="0"/>
          <w:numId w:val="7"/>
        </w:numPr>
        <w:jc w:val="both"/>
      </w:pPr>
      <w:r w:rsidRPr="005168DC">
        <w:t xml:space="preserve">A partir de esa investigación la Subsecretaría del Interior tomará nuevas acciones en la materia. </w:t>
      </w:r>
    </w:p>
    <w:p w:rsidR="005F3DF4" w:rsidRPr="005168DC" w:rsidRDefault="005F3DF4" w:rsidP="005F3DF4">
      <w:pPr>
        <w:pStyle w:val="Prrafodelista"/>
        <w:numPr>
          <w:ilvl w:val="1"/>
          <w:numId w:val="7"/>
        </w:numPr>
      </w:pPr>
      <w:r w:rsidRPr="005168DC">
        <w:rPr>
          <w:b/>
        </w:rPr>
        <w:t>En el ámbito judicial:</w:t>
      </w:r>
      <w:r w:rsidRPr="005168DC">
        <w:t xml:space="preserve"> dentro de las próximas semanas pondremos en conocimiento de la justicia, a través de una denuncia, el irregular proceso </w:t>
      </w:r>
      <w:proofErr w:type="spellStart"/>
      <w:r w:rsidRPr="005168DC">
        <w:t>calificatorio</w:t>
      </w:r>
      <w:proofErr w:type="spellEnd"/>
      <w:r w:rsidRPr="005168DC">
        <w:t>, para investigar a los ex funcionarios del Programa de Reconocimiento del Exonerado Político que hayan tenido participación en tales procesos. Además, reiteraremos ante el Consejo de Defensa del Estado la so</w:t>
      </w:r>
      <w:r>
        <w:t>licitud de un pronunciamiento</w:t>
      </w:r>
      <w:r w:rsidRPr="005168DC">
        <w:t xml:space="preserve"> sobre el inicio de acciones de nulidad de derecho público, para dejar sin efecto resoluciones ilegalmente otorgadas.</w:t>
      </w:r>
    </w:p>
    <w:p w:rsidR="005F3DF4" w:rsidRPr="005168DC" w:rsidRDefault="005F3DF4" w:rsidP="005F3DF4">
      <w:pPr>
        <w:pStyle w:val="Prrafodelista"/>
        <w:ind w:left="1440"/>
        <w:jc w:val="both"/>
      </w:pPr>
    </w:p>
    <w:p w:rsidR="005F3DF4" w:rsidRDefault="005F3DF4" w:rsidP="005F3DF4">
      <w:pPr>
        <w:pStyle w:val="Prrafodelista"/>
        <w:numPr>
          <w:ilvl w:val="1"/>
          <w:numId w:val="7"/>
        </w:numPr>
        <w:jc w:val="both"/>
      </w:pPr>
      <w:r w:rsidRPr="005168DC">
        <w:rPr>
          <w:b/>
        </w:rPr>
        <w:t>En el plano administrativo</w:t>
      </w:r>
      <w:r w:rsidRPr="005168DC">
        <w:t xml:space="preserve">: formalizar el rechazo o paralización administrativa de emisión de resoluciones de expedientes irregulares, a través de oficios informativos; y </w:t>
      </w:r>
      <w:r>
        <w:t>c</w:t>
      </w:r>
      <w:r w:rsidRPr="005168DC">
        <w:t xml:space="preserve">ontinuar con el proceso de invalidación de resoluciones que se encuentren en el plazo legal. </w:t>
      </w:r>
    </w:p>
    <w:p w:rsidR="005F3DF4" w:rsidRDefault="005F3DF4" w:rsidP="005F3DF4">
      <w:pPr>
        <w:pStyle w:val="Prrafodelista"/>
        <w:jc w:val="both"/>
      </w:pPr>
    </w:p>
    <w:p w:rsidR="005F3DF4" w:rsidRDefault="005F3DF4" w:rsidP="005F3DF4">
      <w:pPr>
        <w:pStyle w:val="Prrafodelista"/>
        <w:numPr>
          <w:ilvl w:val="0"/>
          <w:numId w:val="7"/>
        </w:numPr>
        <w:jc w:val="both"/>
      </w:pPr>
      <w:r w:rsidRPr="005168DC">
        <w:lastRenderedPageBreak/>
        <w:t xml:space="preserve">Todo esto se suma a la querella criminal presentada en agosto de 2010 por falsificación de timbres, instrumento público y privado y usurpación de funciones en contra de Julio </w:t>
      </w:r>
      <w:proofErr w:type="spellStart"/>
      <w:r w:rsidRPr="005168DC">
        <w:t>Allendes</w:t>
      </w:r>
      <w:proofErr w:type="spellEnd"/>
      <w:r w:rsidRPr="005168DC">
        <w:t>, quien fue formalizado en septiembre del año pasado.</w:t>
      </w:r>
    </w:p>
    <w:p w:rsidR="005F3DF4" w:rsidRDefault="005F3DF4" w:rsidP="005F3DF4">
      <w:pPr>
        <w:pStyle w:val="Prrafodelista"/>
        <w:jc w:val="both"/>
      </w:pPr>
    </w:p>
    <w:p w:rsidR="005F3DF4" w:rsidRPr="005168DC" w:rsidRDefault="005F3DF4" w:rsidP="005F3DF4">
      <w:pPr>
        <w:pStyle w:val="Prrafodelista"/>
        <w:numPr>
          <w:ilvl w:val="0"/>
          <w:numId w:val="7"/>
        </w:numPr>
        <w:jc w:val="both"/>
      </w:pPr>
      <w:r w:rsidRPr="005168DC">
        <w:t>Adicionalmente, se espera para dentro de las próximas semanas el término del informe de la Contraloría General de la República.</w:t>
      </w:r>
    </w:p>
    <w:p w:rsidR="005F3DF4" w:rsidRPr="005168DC" w:rsidRDefault="005F3DF4" w:rsidP="005F3DF4">
      <w:pPr>
        <w:jc w:val="both"/>
        <w:rPr>
          <w:b/>
        </w:rPr>
      </w:pPr>
    </w:p>
    <w:p w:rsidR="005F3DF4" w:rsidRPr="005168DC" w:rsidRDefault="005F3DF4" w:rsidP="005F3DF4">
      <w:pPr>
        <w:jc w:val="both"/>
        <w:rPr>
          <w:b/>
        </w:rPr>
      </w:pPr>
    </w:p>
    <w:p w:rsidR="005F3DF4" w:rsidRPr="005168DC" w:rsidRDefault="005F3DF4" w:rsidP="005F3DF4">
      <w:pPr>
        <w:jc w:val="both"/>
        <w:rPr>
          <w:b/>
        </w:rPr>
      </w:pPr>
    </w:p>
    <w:p w:rsidR="000F4DED" w:rsidRPr="005F3DF4" w:rsidRDefault="000F4DED" w:rsidP="005F3DF4"/>
    <w:sectPr w:rsidR="000F4DED" w:rsidRPr="005F3DF4">
      <w:head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DC" w:rsidRDefault="005F3DF4">
    <w:pPr>
      <w:pStyle w:val="Encabezado"/>
    </w:pPr>
    <w:r>
      <w:rPr>
        <w:noProof/>
        <w:lang w:eastAsia="es-CL"/>
      </w:rPr>
      <w:drawing>
        <wp:inline distT="0" distB="0" distL="0" distR="0" wp14:anchorId="1CD2BE77" wp14:editId="5BE19B98">
          <wp:extent cx="1419225" cy="1285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2858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0C6"/>
    <w:multiLevelType w:val="hybridMultilevel"/>
    <w:tmpl w:val="12BC0E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267149"/>
    <w:multiLevelType w:val="hybridMultilevel"/>
    <w:tmpl w:val="86A87E2C"/>
    <w:lvl w:ilvl="0" w:tplc="FAF67200">
      <w:start w:val="1"/>
      <w:numFmt w:val="decimal"/>
      <w:lvlText w:val="%1."/>
      <w:lvlJc w:val="left"/>
      <w:pPr>
        <w:ind w:left="720" w:hanging="360"/>
      </w:pPr>
      <w:rPr>
        <w:rFonts w:hint="default"/>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1B62366"/>
    <w:multiLevelType w:val="hybridMultilevel"/>
    <w:tmpl w:val="9BF0B9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BB872EA"/>
    <w:multiLevelType w:val="hybridMultilevel"/>
    <w:tmpl w:val="91BA003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A5A1D59"/>
    <w:multiLevelType w:val="hybridMultilevel"/>
    <w:tmpl w:val="9FFE4920"/>
    <w:lvl w:ilvl="0" w:tplc="EC48313E">
      <w:start w:val="1"/>
      <w:numFmt w:val="decimal"/>
      <w:lvlText w:val="%1."/>
      <w:lvlJc w:val="left"/>
      <w:pPr>
        <w:ind w:left="720" w:hanging="360"/>
      </w:pPr>
      <w:rPr>
        <w:rFonts w:ascii="Calibri" w:hAnsi="Calibri"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84C31F4"/>
    <w:multiLevelType w:val="hybridMultilevel"/>
    <w:tmpl w:val="1F2C2160"/>
    <w:lvl w:ilvl="0" w:tplc="5AD8A4EA">
      <w:start w:val="1"/>
      <w:numFmt w:val="decimal"/>
      <w:lvlText w:val="%1."/>
      <w:lvlJc w:val="left"/>
      <w:pPr>
        <w:ind w:left="720" w:hanging="360"/>
      </w:pPr>
      <w:rPr>
        <w:rFonts w:ascii="Calibri" w:hAnsi="Calibri" w:cs="Calibri"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4390BDA"/>
    <w:multiLevelType w:val="hybridMultilevel"/>
    <w:tmpl w:val="F754E37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6B"/>
    <w:rsid w:val="000F4DED"/>
    <w:rsid w:val="005F3DF4"/>
    <w:rsid w:val="00D21F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1F6B"/>
    <w:rPr>
      <w:color w:val="0000FF" w:themeColor="hyperlink"/>
      <w:u w:val="single"/>
    </w:rPr>
  </w:style>
  <w:style w:type="paragraph" w:styleId="Prrafodelista">
    <w:name w:val="List Paragraph"/>
    <w:basedOn w:val="Normal"/>
    <w:uiPriority w:val="34"/>
    <w:qFormat/>
    <w:rsid w:val="005F3DF4"/>
    <w:pPr>
      <w:ind w:left="720"/>
      <w:contextualSpacing/>
    </w:pPr>
  </w:style>
  <w:style w:type="table" w:styleId="Cuadrculavistosa-nfasis1">
    <w:name w:val="Colorful Grid Accent 1"/>
    <w:basedOn w:val="Tablanormal"/>
    <w:uiPriority w:val="73"/>
    <w:rsid w:val="005F3DF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Encabezado">
    <w:name w:val="header"/>
    <w:basedOn w:val="Normal"/>
    <w:link w:val="EncabezadoCar"/>
    <w:uiPriority w:val="99"/>
    <w:unhideWhenUsed/>
    <w:rsid w:val="005F3D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3DF4"/>
  </w:style>
  <w:style w:type="paragraph" w:styleId="Textodeglobo">
    <w:name w:val="Balloon Text"/>
    <w:basedOn w:val="Normal"/>
    <w:link w:val="TextodegloboCar"/>
    <w:uiPriority w:val="99"/>
    <w:semiHidden/>
    <w:unhideWhenUsed/>
    <w:rsid w:val="005F3D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1F6B"/>
    <w:rPr>
      <w:color w:val="0000FF" w:themeColor="hyperlink"/>
      <w:u w:val="single"/>
    </w:rPr>
  </w:style>
  <w:style w:type="paragraph" w:styleId="Prrafodelista">
    <w:name w:val="List Paragraph"/>
    <w:basedOn w:val="Normal"/>
    <w:uiPriority w:val="34"/>
    <w:qFormat/>
    <w:rsid w:val="005F3DF4"/>
    <w:pPr>
      <w:ind w:left="720"/>
      <w:contextualSpacing/>
    </w:pPr>
  </w:style>
  <w:style w:type="table" w:styleId="Cuadrculavistosa-nfasis1">
    <w:name w:val="Colorful Grid Accent 1"/>
    <w:basedOn w:val="Tablanormal"/>
    <w:uiPriority w:val="73"/>
    <w:rsid w:val="005F3DF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Encabezado">
    <w:name w:val="header"/>
    <w:basedOn w:val="Normal"/>
    <w:link w:val="EncabezadoCar"/>
    <w:uiPriority w:val="99"/>
    <w:unhideWhenUsed/>
    <w:rsid w:val="005F3D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3DF4"/>
  </w:style>
  <w:style w:type="paragraph" w:styleId="Textodeglobo">
    <w:name w:val="Balloon Text"/>
    <w:basedOn w:val="Normal"/>
    <w:link w:val="TextodegloboCar"/>
    <w:uiPriority w:val="99"/>
    <w:semiHidden/>
    <w:unhideWhenUsed/>
    <w:rsid w:val="005F3D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2"/>
          <c:order val="1"/>
          <c:tx>
            <c:strRef>
              <c:f>Hoja1!$D$1</c:f>
              <c:strCache>
                <c:ptCount val="1"/>
                <c:pt idx="0">
                  <c:v>Columna1</c:v>
                </c:pt>
              </c:strCache>
            </c:strRef>
          </c:tx>
          <c:invertIfNegative val="0"/>
          <c:cat>
            <c:numRef>
              <c:f>Hoja1!$A$2:$A$18</c:f>
              <c:numCache>
                <c:formatCode>General</c:formatCode>
                <c:ptCount val="17"/>
                <c:pt idx="0">
                  <c:v>93</c:v>
                </c:pt>
                <c:pt idx="1">
                  <c:v>94</c:v>
                </c:pt>
                <c:pt idx="2">
                  <c:v>95</c:v>
                </c:pt>
                <c:pt idx="3">
                  <c:v>96</c:v>
                </c:pt>
                <c:pt idx="4">
                  <c:v>96</c:v>
                </c:pt>
                <c:pt idx="5">
                  <c:v>98</c:v>
                </c:pt>
                <c:pt idx="6">
                  <c:v>99</c:v>
                </c:pt>
                <c:pt idx="7">
                  <c:v>0</c:v>
                </c:pt>
                <c:pt idx="8">
                  <c:v>1</c:v>
                </c:pt>
                <c:pt idx="9">
                  <c:v>2</c:v>
                </c:pt>
                <c:pt idx="10">
                  <c:v>3</c:v>
                </c:pt>
                <c:pt idx="11">
                  <c:v>4</c:v>
                </c:pt>
                <c:pt idx="12">
                  <c:v>5</c:v>
                </c:pt>
                <c:pt idx="13">
                  <c:v>6</c:v>
                </c:pt>
                <c:pt idx="14">
                  <c:v>7</c:v>
                </c:pt>
                <c:pt idx="15">
                  <c:v>8</c:v>
                </c:pt>
                <c:pt idx="16">
                  <c:v>9</c:v>
                </c:pt>
              </c:numCache>
            </c:numRef>
          </c:cat>
          <c:val>
            <c:numRef>
              <c:f>Hoja1!$D$2:$D$18</c:f>
              <c:numCache>
                <c:formatCode>General</c:formatCode>
                <c:ptCount val="17"/>
              </c:numCache>
            </c:numRef>
          </c:val>
        </c:ser>
        <c:dLbls>
          <c:showLegendKey val="0"/>
          <c:showVal val="0"/>
          <c:showCatName val="0"/>
          <c:showSerName val="0"/>
          <c:showPercent val="0"/>
          <c:showBubbleSize val="0"/>
        </c:dLbls>
        <c:gapWidth val="150"/>
        <c:axId val="124373632"/>
        <c:axId val="124379520"/>
      </c:barChart>
      <c:lineChart>
        <c:grouping val="standard"/>
        <c:varyColors val="0"/>
        <c:ser>
          <c:idx val="1"/>
          <c:order val="0"/>
          <c:tx>
            <c:strRef>
              <c:f>Hoja1!$C$1</c:f>
              <c:strCache>
                <c:ptCount val="1"/>
                <c:pt idx="0">
                  <c:v>Cert. En exp. con irre.</c:v>
                </c:pt>
              </c:strCache>
            </c:strRef>
          </c:tx>
          <c:marker>
            <c:symbol val="none"/>
          </c:marker>
          <c:cat>
            <c:numRef>
              <c:f>Hoja1!$A$2:$A$18</c:f>
              <c:numCache>
                <c:formatCode>General</c:formatCode>
                <c:ptCount val="17"/>
                <c:pt idx="0">
                  <c:v>93</c:v>
                </c:pt>
                <c:pt idx="1">
                  <c:v>94</c:v>
                </c:pt>
                <c:pt idx="2">
                  <c:v>95</c:v>
                </c:pt>
                <c:pt idx="3">
                  <c:v>96</c:v>
                </c:pt>
                <c:pt idx="4">
                  <c:v>96</c:v>
                </c:pt>
                <c:pt idx="5">
                  <c:v>98</c:v>
                </c:pt>
                <c:pt idx="6">
                  <c:v>99</c:v>
                </c:pt>
                <c:pt idx="7">
                  <c:v>0</c:v>
                </c:pt>
                <c:pt idx="8">
                  <c:v>1</c:v>
                </c:pt>
                <c:pt idx="9">
                  <c:v>2</c:v>
                </c:pt>
                <c:pt idx="10">
                  <c:v>3</c:v>
                </c:pt>
                <c:pt idx="11">
                  <c:v>4</c:v>
                </c:pt>
                <c:pt idx="12">
                  <c:v>5</c:v>
                </c:pt>
                <c:pt idx="13">
                  <c:v>6</c:v>
                </c:pt>
                <c:pt idx="14">
                  <c:v>7</c:v>
                </c:pt>
                <c:pt idx="15">
                  <c:v>8</c:v>
                </c:pt>
                <c:pt idx="16">
                  <c:v>9</c:v>
                </c:pt>
              </c:numCache>
            </c:numRef>
          </c:cat>
          <c:val>
            <c:numRef>
              <c:f>Hoja1!$C$2:$C$18</c:f>
              <c:numCache>
                <c:formatCode>General</c:formatCode>
                <c:ptCount val="17"/>
                <c:pt idx="0">
                  <c:v>1</c:v>
                </c:pt>
                <c:pt idx="1">
                  <c:v>0</c:v>
                </c:pt>
                <c:pt idx="2">
                  <c:v>1</c:v>
                </c:pt>
                <c:pt idx="3">
                  <c:v>2</c:v>
                </c:pt>
                <c:pt idx="4">
                  <c:v>24</c:v>
                </c:pt>
                <c:pt idx="5">
                  <c:v>89</c:v>
                </c:pt>
                <c:pt idx="6">
                  <c:v>1332</c:v>
                </c:pt>
                <c:pt idx="7">
                  <c:v>3204</c:v>
                </c:pt>
                <c:pt idx="8">
                  <c:v>1179</c:v>
                </c:pt>
                <c:pt idx="9">
                  <c:v>349</c:v>
                </c:pt>
                <c:pt idx="10">
                  <c:v>84</c:v>
                </c:pt>
                <c:pt idx="11">
                  <c:v>29</c:v>
                </c:pt>
                <c:pt idx="12">
                  <c:v>10</c:v>
                </c:pt>
                <c:pt idx="13">
                  <c:v>3</c:v>
                </c:pt>
                <c:pt idx="14">
                  <c:v>4</c:v>
                </c:pt>
                <c:pt idx="15">
                  <c:v>28</c:v>
                </c:pt>
                <c:pt idx="16">
                  <c:v>32</c:v>
                </c:pt>
              </c:numCache>
            </c:numRef>
          </c:val>
          <c:smooth val="0"/>
        </c:ser>
        <c:dLbls>
          <c:showLegendKey val="0"/>
          <c:showVal val="0"/>
          <c:showCatName val="0"/>
          <c:showSerName val="0"/>
          <c:showPercent val="0"/>
          <c:showBubbleSize val="0"/>
        </c:dLbls>
        <c:marker val="1"/>
        <c:smooth val="0"/>
        <c:axId val="124373632"/>
        <c:axId val="124379520"/>
      </c:lineChart>
      <c:catAx>
        <c:axId val="124373632"/>
        <c:scaling>
          <c:orientation val="minMax"/>
        </c:scaling>
        <c:delete val="0"/>
        <c:axPos val="b"/>
        <c:numFmt formatCode="General" sourceLinked="1"/>
        <c:majorTickMark val="out"/>
        <c:minorTickMark val="none"/>
        <c:tickLblPos val="nextTo"/>
        <c:txPr>
          <a:bodyPr/>
          <a:lstStyle/>
          <a:p>
            <a:pPr>
              <a:defRPr sz="1100" baseline="0"/>
            </a:pPr>
            <a:endParaRPr lang="es-CL"/>
          </a:p>
        </c:txPr>
        <c:crossAx val="124379520"/>
        <c:crosses val="autoZero"/>
        <c:auto val="1"/>
        <c:lblAlgn val="ctr"/>
        <c:lblOffset val="100"/>
        <c:noMultiLvlLbl val="0"/>
      </c:catAx>
      <c:valAx>
        <c:axId val="124379520"/>
        <c:scaling>
          <c:orientation val="minMax"/>
        </c:scaling>
        <c:delete val="0"/>
        <c:axPos val="l"/>
        <c:majorGridlines/>
        <c:numFmt formatCode="General" sourceLinked="1"/>
        <c:majorTickMark val="out"/>
        <c:minorTickMark val="none"/>
        <c:tickLblPos val="nextTo"/>
        <c:txPr>
          <a:bodyPr/>
          <a:lstStyle/>
          <a:p>
            <a:pPr>
              <a:defRPr sz="1100" baseline="0"/>
            </a:pPr>
            <a:endParaRPr lang="es-CL"/>
          </a:p>
        </c:txPr>
        <c:crossAx val="124373632"/>
        <c:crosses val="autoZero"/>
        <c:crossBetween val="between"/>
      </c:valAx>
    </c:plotArea>
    <c:plotVisOnly val="1"/>
    <c:dispBlanksAs val="gap"/>
    <c:showDLblsOverMax val="0"/>
  </c:chart>
  <c:spPr>
    <a:effectLst>
      <a:glow rad="127000">
        <a:schemeClr val="tx2"/>
      </a:glow>
      <a:innerShdw blurRad="63500" dist="50800" dir="8100000">
        <a:schemeClr val="tx2">
          <a:alpha val="50000"/>
        </a:schemeClr>
      </a:innerShdw>
    </a:effectLst>
  </c:spPr>
  <c:txPr>
    <a:bodyPr/>
    <a:lstStyle/>
    <a:p>
      <a:pPr>
        <a:defRPr sz="1800"/>
      </a:pPr>
      <a:endParaRPr lang="es-CL"/>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72</TotalTime>
  <Pages>7</Pages>
  <Words>1772</Words>
  <Characters>9750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Alt Hayal</dc:creator>
  <cp:lastModifiedBy>Ricardo Alt Hayal</cp:lastModifiedBy>
  <cp:revision>1</cp:revision>
  <dcterms:created xsi:type="dcterms:W3CDTF">2013-05-29T11:05:00Z</dcterms:created>
  <dcterms:modified xsi:type="dcterms:W3CDTF">2013-05-29T12:19:00Z</dcterms:modified>
</cp:coreProperties>
</file>